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商务局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三河市商务局为主管全市国内外贸易和国际经济合作的政府工作部门,主要职责如下:</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（一）贯彻落实国家和省、市有关内外贸易、国际经济合作和招商引资的发展战略、方针、政策和规章制度；拟定全市相应的发展规划及规定、办法和措施。</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有关对外开放方面的法律法规和方针政策；参与拟定全市利用外资的中长期规划；负责国家规定的限额以上、限额投资、特殊行业和涉及配额、许可证管理的外商投资企业的设立及其变更事项的审核上报工作；审核或核准全市大型外商投资项目的合同、章程及法律特别规定的重大变更事项；监督外商投资企业执行有关法律法规、规章和进出口工作；负责全市利用外资和外资企业生产经营情况统计；负责全市外商投资企业进出口产品配额及许可证的申报和管理工作；综合协调和指导国家级、省级经济技术开发区的有关具体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全市对外经济合作；拟定并执行对外经济合作政策，指导和监督对外承包工程、劳务合作、设计咨询等业务的管理；拟定全市境外投资管理办法和具体政策；负责对外经济合作企业的经营资格认证和管理工作；管理联合国及其他国际组织或外国政府对我市经济技术合作方面的无偿援助及赠款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（四）负责外国和香港、澳门特别行政区、台湾及其他省市常驻我市的商务代表机构的设立和管理工作。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（五）执行国家制定的进出口商品管理办法、进出口商品目录和进出口商品配额招标政策；负责进出口配额计划的编报、下达和组织实施及配额、许可证管理工作。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贯彻执行国家对外技术贸易、进出口管理及鼓励技术和成套设备出口的政策；推进进出口贸易标准化体系建设；依法监督技术引进、设备进口、国家限制出口的技术和引进技术的出口与再出口工作；负责协调与防扩散相关的出口许可证的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市商务系统涉及世贸组织相关事物的研究、指导的服务工作；组织协调反倾销、反补贴工作及其他进出口公平贸易相关的工作；承担反倾销、反补贴、保障措施等涉及我市案件的产业损失调查，建立全市产业损失预警机制。</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（八）研究提出流通体制改革意见，培育发展城乡市场、推进流通产业结构调整和连锁经营、物流配送、电子商务等现代流通方式。</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研究拟定全市规范流通领域市场体系及流通秩序和打破市场垄断、地区封锁的意见；建立健全统一、开放、竞争、有序的市场体系，维护行业公平竞争秩序；监测分析市场运行和商品供求状况，组织实施重要消费品市场调控和重要生产资料流通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拟定全市商品流通、物资流通和餐饮服务业的有关规定、规章，制定实施细则和市场准则；调查研究全市商品流通和物资流通行业重大问题，提出政策性建议；负责成品油流通、畜禽定点屠宰、酒类监督、化学危险品经营和拍卖、典当实物租赁、旧货流通等行业的监督管理；负责重要商品和生产资料经营资格的审查工作；协同有关部门负责民爆器材的经营性管理工作；承办全市老旧汽车更新工作；指导全市贸易及物资系统安全生产管理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贯彻执行国家机电产品进口战略和方针、政策；拟定和执行全市机电产品进出口中长期发展计划、年度指导性计划和管理办法并组织实施；依法监督进口机电设备采购项目招标活动，承办从事与工程有关的进口机电设备采购招标代理业务的招标代理机构初审上报；管理设备进口和国际招标。</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（十二）指导监督以三河市名义在境内举办的各种内、外贸交易会、展览会、展销会等活动；拟定并实施赴境外举办上述活动的管理办法。</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（十三）负责全市内外贸易新闻发布会、宣传工作和提供信息咨询服务；指导全市流通领域信息网络和电子商务建设。</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（十四）负责指导全市商务流通行业协会、学会等社会组织工作。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（十五）承办市政府交办的其他事项。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8"/>
              <w:rPr>
                <w:rFonts w:ascii="Times New Roman" w:hAnsi="Times New Roman" w:eastAsia="仿宋_GB2312" w:cs="Times New Roman"/>
                <w:b/>
              </w:rPr>
            </w:pPr>
            <w:r>
              <w:t>三河市商务局本级</w:t>
            </w:r>
          </w:p>
        </w:tc>
        <w:tc>
          <w:tcPr>
            <w:tcW w:w="1134" w:type="dxa"/>
            <w:shd w:val="clear" w:color="auto" w:fill="auto"/>
            <w:vAlign w:val="center"/>
          </w:tcPr>
          <w:p>
            <w:pPr>
              <w:pStyle w:val="19"/>
              <w:rPr>
                <w:rFonts w:ascii="Times New Roman" w:hAnsi="Times New Roman" w:eastAsia="仿宋_GB2312" w:cs="Times New Roman"/>
                <w:b/>
              </w:rPr>
            </w:pPr>
            <w:r>
              <w:t>行政</w:t>
            </w:r>
          </w:p>
        </w:tc>
        <w:tc>
          <w:tcPr>
            <w:tcW w:w="1276" w:type="dxa"/>
            <w:shd w:val="clear" w:color="auto" w:fill="auto"/>
            <w:vAlign w:val="center"/>
          </w:tcPr>
          <w:p>
            <w:pPr>
              <w:pStyle w:val="19"/>
              <w:rPr>
                <w:rFonts w:ascii="Times New Roman" w:hAnsi="Times New Roman" w:eastAsia="仿宋_GB2312" w:cs="Times New Roman"/>
                <w:b/>
              </w:rPr>
            </w:pPr>
            <w:r>
              <w:t>正科级</w:t>
            </w:r>
          </w:p>
        </w:tc>
        <w:tc>
          <w:tcPr>
            <w:tcW w:w="2902" w:type="dxa"/>
            <w:shd w:val="clear" w:color="auto" w:fill="auto"/>
            <w:vAlign w:val="center"/>
          </w:tcPr>
          <w:p>
            <w:pPr>
              <w:pStyle w:val="19"/>
              <w:rPr>
                <w:rFonts w:hint="eastAsia" w:ascii="Times New Roman" w:hAnsi="Times New Roman" w:eastAsia="方正书宋_GBK" w:cs="Times New Roman"/>
                <w:b/>
                <w:lang w:eastAsia="zh-CN"/>
              </w:rPr>
            </w:pPr>
            <w:r>
              <w:t>财政拨款</w:t>
            </w:r>
            <w:r>
              <w:rPr>
                <w:rFonts w:hint="eastAsia"/>
                <w:lang w:eastAsia="zh-CN"/>
              </w:rPr>
              <w:t>（</w:t>
            </w:r>
            <w:r>
              <w:rPr>
                <w:rFonts w:hint="eastAsia"/>
                <w:lang w:val="en-US" w:eastAsia="zh-CN"/>
              </w:rPr>
              <w:t>行政</w:t>
            </w:r>
            <w:r>
              <w:rPr>
                <w:rFonts w:hint="eastAsia"/>
                <w:lang w:eastAsia="zh-CN"/>
              </w:rPr>
              <w:t>）</w:t>
            </w:r>
          </w:p>
        </w:tc>
      </w:tr>
    </w:tbl>
    <w:p>
      <w:pPr>
        <w:spacing w:line="584" w:lineRule="exact"/>
        <w:ind w:firstLine="321" w:firstLineChars="100"/>
        <w:rPr>
          <w:rFonts w:ascii="Times New Roman" w:hAnsi="黑体" w:eastAsia="黑体" w:cs="Times New Roman"/>
          <w:sz w:val="32"/>
          <w:szCs w:val="32"/>
        </w:rPr>
      </w:pPr>
      <w:r>
        <w:rPr>
          <w:rFonts w:hint="eastAsia" w:ascii="Times New Roman" w:hAnsi="Times New Roman" w:eastAsia="仿宋_GB2312" w:cs="Times New Roman"/>
          <w:b/>
          <w:bCs/>
          <w:sz w:val="32"/>
          <w:szCs w:val="32"/>
        </w:rPr>
        <w:t>注：</w:t>
      </w:r>
      <w:r>
        <w:rPr>
          <w:rFonts w:hint="eastAsia" w:ascii="Times New Roman" w:hAnsi="Times New Roman" w:eastAsia="仿宋_GB2312" w:cs="Times New Roman"/>
          <w:sz w:val="32"/>
          <w:szCs w:val="32"/>
        </w:rPr>
        <w:t>我部门无下属单位。</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bookmarkStart w:id="2" w:name="_GoBack"/>
      <w:bookmarkEnd w:id="2"/>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1287.96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1180.86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107.1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2027.28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包括本级支出和对下补助支出，主要为</w:t>
      </w:r>
      <w:r>
        <w:rPr>
          <w:rFonts w:hint="eastAsia" w:ascii="Times New Roman" w:hAnsi="Times New Roman" w:eastAsia="仿宋_GB2312" w:cs="Times New Roman"/>
          <w:sz w:val="32"/>
          <w:szCs w:val="32"/>
          <w:lang w:val="en-US" w:eastAsia="zh-CN"/>
        </w:rPr>
        <w:t>外贸出口奖励资金300万元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限额以上批零住餐奖励资金329万元、出口信用保险补贴资金25万元，上级下达县域商业体系建设专项资金705万元以及上年结转2021年第一批省级外贸发展专项资金600万元。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3315.24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1562.42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161.53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1400.89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上级结转项目及上级转移支付项目增加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2023年，我局机关运行经费共计安排107.1万元，主要用于商务局日常</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2023年，我局财政拨款“三公”经费预算安排12.47万元。其中，因公出国（境）费0万元；公务用车购置及运维费11.97万元（其中：公务用车购置费为0万元，公务用车运维费11.97万元)；公务接待费0.5万元。与2022年持平。</w:t>
      </w:r>
      <w:r>
        <w:rPr>
          <w:rFonts w:ascii="Times New Roman" w:hAnsi="Times New Roman" w:eastAsia="仿宋_GB2312" w:cs="Times New Roman"/>
          <w:color w:val="auto"/>
          <w:sz w:val="32"/>
          <w:szCs w:val="32"/>
        </w:rPr>
        <w:t>（其中：公务用车购置费</w:t>
      </w:r>
      <w:r>
        <w:rPr>
          <w:rFonts w:hint="eastAsia" w:ascii="Times New Roman" w:hAnsi="Times New Roman" w:eastAsia="仿宋_GB2312" w:cs="Times New Roman"/>
          <w:color w:val="auto"/>
          <w:sz w:val="32"/>
          <w:szCs w:val="32"/>
          <w:lang w:val="en-US" w:eastAsia="zh-CN"/>
        </w:rPr>
        <w:t>与上年持平</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均为0万元，无增减变化，</w:t>
      </w:r>
      <w:r>
        <w:rPr>
          <w:rFonts w:ascii="Times New Roman" w:hAnsi="Times New Roman" w:eastAsia="仿宋_GB2312" w:cs="Times New Roman"/>
          <w:color w:val="auto"/>
          <w:sz w:val="32"/>
          <w:szCs w:val="32"/>
        </w:rPr>
        <w:t>公务用车运维费</w:t>
      </w:r>
      <w:r>
        <w:rPr>
          <w:rFonts w:hint="eastAsia" w:ascii="Times New Roman" w:hAnsi="Times New Roman" w:eastAsia="仿宋_GB2312" w:cs="Times New Roman"/>
          <w:color w:val="auto"/>
          <w:sz w:val="32"/>
          <w:szCs w:val="32"/>
          <w:lang w:val="en-US" w:eastAsia="zh-CN"/>
        </w:rPr>
        <w:t>11.97万元，与上年持平，</w:t>
      </w:r>
      <w:r>
        <w:rPr>
          <w:rFonts w:ascii="Times New Roman" w:hAnsi="Times New Roman" w:eastAsia="仿宋_GB2312" w:cs="Times New Roman"/>
          <w:color w:val="auto"/>
          <w:sz w:val="32"/>
          <w:szCs w:val="32"/>
        </w:rPr>
        <w:t>无增减变化。)；公务接待费</w:t>
      </w:r>
      <w:r>
        <w:rPr>
          <w:rFonts w:hint="eastAsia" w:ascii="Times New Roman" w:hAnsi="Times New Roman" w:eastAsia="仿宋_GB2312" w:cs="Times New Roman"/>
          <w:color w:val="auto"/>
          <w:sz w:val="32"/>
          <w:szCs w:val="32"/>
          <w:lang w:val="en-US" w:eastAsia="zh-CN"/>
        </w:rPr>
        <w:t>0.5</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与上年持平</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无增减变化。</w:t>
      </w:r>
    </w:p>
    <w:p>
      <w:pPr>
        <w:autoSpaceDE w:val="0"/>
        <w:autoSpaceDN w:val="0"/>
        <w:adjustRightInd w:val="0"/>
        <w:spacing w:line="584" w:lineRule="exact"/>
        <w:ind w:left="197" w:leftChars="94"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以习近平新时代中国特色社会主义思想为指导，深入贯彻中央和省、市决策部署，坚持以全面加强党的领导和扩大高水平对外开放为总体引领，全力外贸进出口、社会消费品零售总额两项指标任务，牢牢抓住开展招商引资、承办“5·18”经洽会等关键环节，扎实做好深化改革、开放合作、惠民发展等方面重要文章，稳步推进基层党的建设、招商引资、安全生产三项中心工作，通过夯实基础，促进主要指标换档提速、关键领域创新突破、重点工作提质增效，努力促进商贸事务实现高质量发展，为加快建设经济强市、美丽三河做出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210" w:type="dxa"/>
        <w:jc w:val="center"/>
        <w:tblInd w:w="-3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34"/>
        <w:gridCol w:w="750"/>
        <w:gridCol w:w="2124"/>
        <w:gridCol w:w="790"/>
        <w:gridCol w:w="3825"/>
        <w:gridCol w:w="780"/>
        <w:gridCol w:w="825"/>
        <w:gridCol w:w="720"/>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5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2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79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325"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86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33" w:hRule="atLeast"/>
          <w:tblHeader/>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spacing w:line="584" w:lineRule="exact"/>
            </w:pPr>
          </w:p>
        </w:tc>
        <w:tc>
          <w:tcPr>
            <w:tcW w:w="2124" w:type="dxa"/>
            <w:vMerge w:val="continue"/>
            <w:tcBorders>
              <w:tl2br w:val="nil"/>
              <w:tr2bl w:val="nil"/>
            </w:tcBorders>
            <w:vAlign w:val="center"/>
          </w:tcPr>
          <w:p>
            <w:pPr>
              <w:spacing w:line="584" w:lineRule="exact"/>
            </w:pPr>
          </w:p>
        </w:tc>
        <w:tc>
          <w:tcPr>
            <w:tcW w:w="790" w:type="dxa"/>
            <w:vMerge w:val="continue"/>
            <w:tcBorders>
              <w:tl2br w:val="nil"/>
              <w:tr2bl w:val="nil"/>
            </w:tcBorders>
            <w:vAlign w:val="center"/>
          </w:tcPr>
          <w:p>
            <w:pPr>
              <w:spacing w:line="584" w:lineRule="exact"/>
            </w:pPr>
          </w:p>
        </w:tc>
        <w:tc>
          <w:tcPr>
            <w:tcW w:w="3825" w:type="dxa"/>
            <w:vMerge w:val="continue"/>
            <w:tcBorders>
              <w:tl2br w:val="nil"/>
              <w:tr2bl w:val="nil"/>
            </w:tcBorders>
            <w:vAlign w:val="center"/>
          </w:tcPr>
          <w:p>
            <w:pPr>
              <w:spacing w:line="584" w:lineRule="exact"/>
            </w:pP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862"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补助企业数量（家）</w:t>
            </w:r>
          </w:p>
        </w:tc>
        <w:tc>
          <w:tcPr>
            <w:tcW w:w="790"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补助企业数量（家）</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《三河市稳外贸外资八条措施》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7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消费扶贫专馆面积数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运营消费扶贫专馆面积数量</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280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房屋租赁协议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组织安全检查企业数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组织安全检查企业数</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534"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限额以上批零住餐补贴企业数量</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限额以上批零住餐补贴企业数量</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26</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统计局提供入统企业名单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出口奖励资金发放率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出口奖励资金发放率</w:t>
            </w:r>
          </w:p>
        </w:tc>
        <w:tc>
          <w:tcPr>
            <w:tcW w:w="78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20"/>
                <w:szCs w:val="20"/>
                <w:u w:val="none"/>
                <w:lang w:val="en-US" w:eastAsia="zh-CN" w:bidi="ar"/>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100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《三河市外贸出口奖励办法》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日常工作保障比率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jc w:val="left"/>
              <w:rPr>
                <w:rFonts w:ascii="方正书宋_GBK" w:eastAsia="方正书宋_GBK"/>
              </w:rPr>
            </w:pPr>
            <w:r>
              <w:rPr>
                <w:rFonts w:hint="eastAsia" w:ascii="方正书宋_GBK" w:eastAsia="方正书宋_GBK"/>
              </w:rPr>
              <w:t>项目对扶贫专馆日常工作保障情况</w:t>
            </w:r>
          </w:p>
        </w:tc>
        <w:tc>
          <w:tcPr>
            <w:tcW w:w="78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仿宋_GB2312" w:hAnsi="宋体" w:eastAsia="仿宋_GB2312" w:cs="仿宋_GB2312"/>
                <w:i w:val="0"/>
                <w:color w:val="000000"/>
                <w:kern w:val="0"/>
                <w:sz w:val="20"/>
                <w:szCs w:val="20"/>
                <w:u w:val="none"/>
                <w:lang w:val="en-US" w:eastAsia="zh-CN" w:bidi="ar"/>
              </w:rPr>
              <w:t>=</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100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抽查覆盖率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方正书宋_GBK" w:eastAsia="方正书宋_GBK"/>
                <w:lang w:val="en-US" w:eastAsia="zh-CN"/>
              </w:rPr>
              <w:t>安全检查活动占所辖企业比率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申报企业发放覆盖率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补助企业数量占申报企业数量比率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60</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方正书宋_GBK" w:eastAsia="方正书宋_GBK"/>
                <w:lang w:val="en-US" w:eastAsia="zh-CN"/>
              </w:rPr>
              <w:t>三河市人民政府办公室关于印发《三河市支持“十类企业”培育的若干措施》的通知 三政办[2022]45号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458"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重点工作完成时间</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重点工作完成时间</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1</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年</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一般性支出成本</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一般性支出成本</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3315.24</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2023年预算批复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促进出口企业产业结构调整</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促进出口企业产业结构调整</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有效促进</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促进企业转型升级率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促进此类型企业转型升级比率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0.28</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税务局、统计局提供数据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重大安全生产事故发生起数</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通过项目实施重大安全生产事故发生情况</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1</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起</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adjustRightInd w:val="0"/>
              <w:snapToGrid w:val="0"/>
              <w:spacing w:line="584" w:lineRule="exact"/>
              <w:jc w:val="center"/>
              <w:rPr>
                <w:rFonts w:ascii="方正书宋_GBK" w:eastAsia="方正书宋_GBK"/>
              </w:rPr>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增加贫困地区产品销售额，巩固脱贫攻坚成果</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增加贫困地区产品销售额，巩固脱贫攻坚成果</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持续巩固</w:t>
            </w:r>
          </w:p>
        </w:tc>
        <w:tc>
          <w:tcPr>
            <w:tcW w:w="2862"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获奖企业出口额增长率</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获奖企业出口额增长率</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5</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rPr>
            </w:pPr>
          </w:p>
        </w:tc>
        <w:tc>
          <w:tcPr>
            <w:tcW w:w="2124"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城乡消费品零售额增速对比</w:t>
            </w:r>
          </w:p>
        </w:tc>
        <w:tc>
          <w:tcPr>
            <w:tcW w:w="79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rPr>
              <w:t>城乡消费品零售额增速对比</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825"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6.5</w:t>
            </w: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w:t>
            </w:r>
          </w:p>
        </w:tc>
        <w:tc>
          <w:tcPr>
            <w:tcW w:w="2862"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2124" w:type="dxa"/>
            <w:tcBorders>
              <w:tl2br w:val="nil"/>
              <w:tr2bl w:val="nil"/>
            </w:tcBorders>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减少大气污染</w:t>
            </w:r>
          </w:p>
        </w:tc>
        <w:tc>
          <w:tcPr>
            <w:tcW w:w="790" w:type="dxa"/>
            <w:tcBorders>
              <w:tl2br w:val="nil"/>
              <w:tr2bl w:val="nil"/>
            </w:tcBorders>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减少大气污染</w:t>
            </w:r>
          </w:p>
        </w:tc>
        <w:tc>
          <w:tcPr>
            <w:tcW w:w="780"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有效减少</w:t>
            </w:r>
          </w:p>
        </w:tc>
        <w:tc>
          <w:tcPr>
            <w:tcW w:w="825" w:type="dxa"/>
            <w:tcBorders>
              <w:tl2br w:val="nil"/>
              <w:tr2bl w:val="nil"/>
            </w:tcBorders>
            <w:vAlign w:val="center"/>
          </w:tcPr>
          <w:p>
            <w:pPr>
              <w:widowControl/>
              <w:adjustRightInd w:val="0"/>
              <w:snapToGrid w:val="0"/>
              <w:spacing w:line="584" w:lineRule="exact"/>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rPr>
                <w:rFonts w:ascii="方正书宋_GBK" w:eastAsia="方正书宋_GBK"/>
              </w:rPr>
            </w:pPr>
          </w:p>
        </w:tc>
        <w:tc>
          <w:tcPr>
            <w:tcW w:w="2862"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70" w:hRule="atLeast"/>
          <w:jc w:val="center"/>
        </w:trPr>
        <w:tc>
          <w:tcPr>
            <w:tcW w:w="534" w:type="dxa"/>
            <w:vMerge w:val="continue"/>
            <w:tcBorders>
              <w:tl2br w:val="nil"/>
              <w:tr2bl w:val="nil"/>
            </w:tcBorders>
            <w:vAlign w:val="center"/>
          </w:tcPr>
          <w:p>
            <w:pPr>
              <w:spacing w:line="584" w:lineRule="exact"/>
            </w:pPr>
          </w:p>
        </w:tc>
        <w:tc>
          <w:tcPr>
            <w:tcW w:w="75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124" w:type="dxa"/>
            <w:tcBorders>
              <w:tl2br w:val="nil"/>
              <w:tr2bl w:val="nil"/>
            </w:tcBorders>
            <w:noWrap/>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调整限上企业产业结构</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hint="eastAsia" w:ascii="方正书宋_GBK" w:eastAsia="方正书宋_GBK"/>
              </w:rPr>
            </w:pPr>
            <w:r>
              <w:rPr>
                <w:rFonts w:hint="eastAsia" w:ascii="方正书宋_GBK" w:eastAsia="方正书宋_GBK"/>
              </w:rPr>
              <w:t>调整我市限上企业产业结构</w:t>
            </w:r>
          </w:p>
        </w:tc>
        <w:tc>
          <w:tcPr>
            <w:tcW w:w="78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加快调整</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720"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34" w:type="dxa"/>
            <w:vMerge w:val="continue"/>
            <w:tcBorders>
              <w:tl2br w:val="nil"/>
              <w:tr2bl w:val="nil"/>
            </w:tcBorders>
            <w:vAlign w:val="center"/>
          </w:tcPr>
          <w:p>
            <w:pPr>
              <w:spacing w:line="584" w:lineRule="exact"/>
            </w:pPr>
          </w:p>
        </w:tc>
        <w:tc>
          <w:tcPr>
            <w:tcW w:w="7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124"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群众满意程度</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hint="default" w:ascii="方正书宋_GBK" w:eastAsia="方正书宋_GBK"/>
                <w:lang w:val="en-US"/>
              </w:rPr>
            </w:pPr>
            <w:r>
              <w:rPr>
                <w:rFonts w:hint="eastAsia" w:ascii="方正书宋_GBK" w:eastAsia="方正书宋_GBK"/>
                <w:lang w:val="en-US" w:eastAsia="zh-CN"/>
              </w:rPr>
              <w:t>居民群众对部门工作的满意度</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534" w:type="dxa"/>
            <w:vMerge w:val="continue"/>
            <w:tcBorders>
              <w:tl2br w:val="nil"/>
              <w:tr2bl w:val="nil"/>
            </w:tcBorders>
            <w:vAlign w:val="center"/>
          </w:tcPr>
          <w:p>
            <w:pPr>
              <w:spacing w:line="584" w:lineRule="exact"/>
            </w:pPr>
          </w:p>
        </w:tc>
        <w:tc>
          <w:tcPr>
            <w:tcW w:w="750"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2124"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rPr>
              <w:t>下级协助部门满意度</w:t>
            </w:r>
          </w:p>
        </w:tc>
        <w:tc>
          <w:tcPr>
            <w:tcW w:w="790" w:type="dxa"/>
            <w:tcBorders>
              <w:tl2br w:val="nil"/>
              <w:tr2bl w:val="nil"/>
            </w:tcBorders>
            <w:noWrap/>
            <w:vAlign w:val="center"/>
          </w:tcPr>
          <w:p>
            <w:pPr>
              <w:widowControl/>
              <w:adjustRightInd w:val="0"/>
              <w:snapToGrid w:val="0"/>
              <w:spacing w:line="584" w:lineRule="exact"/>
              <w:jc w:val="center"/>
              <w:rPr>
                <w:rFonts w:hint="eastAsia" w:ascii="方正书宋_GBK" w:eastAsia="方正书宋_GBK"/>
              </w:rPr>
            </w:pPr>
            <w:r>
              <w:rPr>
                <w:rFonts w:hint="eastAsia" w:ascii="方正书宋_GBK" w:eastAsia="方正书宋_GBK"/>
                <w:lang w:val="en-US" w:eastAsia="zh-CN"/>
              </w:rPr>
              <w:t>5分</w:t>
            </w:r>
          </w:p>
        </w:tc>
        <w:tc>
          <w:tcPr>
            <w:tcW w:w="3825" w:type="dxa"/>
            <w:tcBorders>
              <w:tl2br w:val="nil"/>
              <w:tr2bl w:val="nil"/>
            </w:tcBorders>
            <w:noWrap/>
            <w:vAlign w:val="center"/>
          </w:tcPr>
          <w:p>
            <w:pPr>
              <w:widowControl/>
              <w:adjustRightInd w:val="0"/>
              <w:snapToGrid w:val="0"/>
              <w:spacing w:line="584" w:lineRule="exact"/>
              <w:rPr>
                <w:rFonts w:ascii="方正书宋_GBK" w:eastAsia="方正书宋_GBK"/>
              </w:rPr>
            </w:pPr>
            <w:r>
              <w:rPr>
                <w:rFonts w:hint="eastAsia" w:ascii="方正书宋_GBK" w:eastAsia="方正书宋_GBK"/>
                <w:lang w:val="en-US" w:eastAsia="zh-CN"/>
              </w:rPr>
              <w:t>下级协助部门对部门工作的满意度</w:t>
            </w:r>
          </w:p>
        </w:tc>
        <w:tc>
          <w:tcPr>
            <w:tcW w:w="78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825"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90</w:t>
            </w:r>
          </w:p>
        </w:tc>
        <w:tc>
          <w:tcPr>
            <w:tcW w:w="720"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2862"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安全生产活动经费</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1.目标内容1：通过对商务领域企业进行安全生产督促指导检查、宣传等活动，确保商务领域安全生产形势取得明显的改善，最大限度消除安全隐患。</w:t>
            </w:r>
          </w:p>
          <w:p>
            <w:pPr>
              <w:spacing w:line="584" w:lineRule="exact"/>
              <w:rPr>
                <w:rFonts w:ascii="Times New Roman" w:hAnsi="Times New Roman" w:eastAsia="仿宋_GB2312" w:cs="Times New Roman"/>
                <w:b/>
              </w:rPr>
            </w:pPr>
            <w:r>
              <w:t>2.目标内容2：通过安全生产各项工作的开展，督促企业落实安全生产主体责任，不断提高安全生产管理水平。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检查企业数</w:t>
            </w:r>
          </w:p>
        </w:tc>
        <w:tc>
          <w:tcPr>
            <w:tcW w:w="3402" w:type="dxa"/>
            <w:shd w:val="clear" w:color="auto" w:fill="auto"/>
            <w:vAlign w:val="center"/>
          </w:tcPr>
          <w:p>
            <w:pPr>
              <w:pStyle w:val="18"/>
              <w:rPr>
                <w:rFonts w:ascii="Times New Roman" w:hAnsi="Times New Roman" w:eastAsia="仿宋_GB2312" w:cs="Times New Roman"/>
              </w:rPr>
            </w:pPr>
            <w:r>
              <w:t>组织安全检查企业数</w:t>
            </w:r>
          </w:p>
        </w:tc>
        <w:tc>
          <w:tcPr>
            <w:tcW w:w="1843" w:type="dxa"/>
            <w:shd w:val="clear" w:color="auto" w:fill="auto"/>
            <w:vAlign w:val="center"/>
          </w:tcPr>
          <w:p>
            <w:pPr>
              <w:pStyle w:val="18"/>
              <w:rPr>
                <w:rFonts w:ascii="Times New Roman" w:hAnsi="Times New Roman" w:eastAsia="仿宋_GB2312" w:cs="Times New Roman"/>
              </w:rPr>
            </w:pPr>
            <w:r>
              <w:t>≥1000家</w:t>
            </w:r>
          </w:p>
        </w:tc>
        <w:tc>
          <w:tcPr>
            <w:tcW w:w="2155" w:type="dxa"/>
            <w:shd w:val="clear" w:color="auto" w:fill="auto"/>
            <w:vAlign w:val="center"/>
          </w:tcPr>
          <w:p>
            <w:pPr>
              <w:pStyle w:val="18"/>
              <w:rPr>
                <w:rFonts w:ascii="Times New Roman" w:hAnsi="Times New Roman" w:eastAsia="仿宋_GB2312" w:cs="Times New Roman"/>
              </w:rPr>
            </w:pPr>
            <w:r>
              <w:t>《三河市安全生产监管责任清单》（三安[2020]7号）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抽查覆盖率</w:t>
            </w:r>
          </w:p>
        </w:tc>
        <w:tc>
          <w:tcPr>
            <w:tcW w:w="3402" w:type="dxa"/>
            <w:shd w:val="clear" w:color="auto" w:fill="auto"/>
            <w:vAlign w:val="center"/>
          </w:tcPr>
          <w:p>
            <w:pPr>
              <w:pStyle w:val="18"/>
              <w:rPr>
                <w:rFonts w:ascii="Times New Roman" w:hAnsi="Times New Roman" w:eastAsia="仿宋_GB2312" w:cs="Times New Roman"/>
              </w:rPr>
            </w:pPr>
            <w:r>
              <w:t>安全检查企业数占所辖企业比率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《三河市安全生产监管责任清单》（三安[2020]7号）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项目完成时间</w:t>
            </w:r>
          </w:p>
        </w:tc>
        <w:tc>
          <w:tcPr>
            <w:tcW w:w="3402" w:type="dxa"/>
            <w:shd w:val="clear" w:color="auto" w:fill="auto"/>
            <w:vAlign w:val="center"/>
          </w:tcPr>
          <w:p>
            <w:pPr>
              <w:pStyle w:val="18"/>
              <w:rPr>
                <w:rFonts w:ascii="Times New Roman" w:hAnsi="Times New Roman" w:eastAsia="仿宋_GB2312" w:cs="Times New Roman"/>
              </w:rPr>
            </w:pPr>
            <w:r>
              <w:t>项目完成时间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资料印制成本</w:t>
            </w:r>
          </w:p>
        </w:tc>
        <w:tc>
          <w:tcPr>
            <w:tcW w:w="3402" w:type="dxa"/>
            <w:shd w:val="clear" w:color="auto" w:fill="auto"/>
            <w:vAlign w:val="center"/>
          </w:tcPr>
          <w:p>
            <w:pPr>
              <w:pStyle w:val="18"/>
              <w:rPr>
                <w:rFonts w:ascii="Times New Roman" w:hAnsi="Times New Roman" w:eastAsia="仿宋_GB2312" w:cs="Times New Roman"/>
              </w:rPr>
            </w:pPr>
            <w:r>
              <w:t>资料印制成本</w:t>
            </w:r>
          </w:p>
        </w:tc>
        <w:tc>
          <w:tcPr>
            <w:tcW w:w="1843" w:type="dxa"/>
            <w:shd w:val="clear" w:color="auto" w:fill="auto"/>
            <w:vAlign w:val="center"/>
          </w:tcPr>
          <w:p>
            <w:pPr>
              <w:pStyle w:val="18"/>
              <w:rPr>
                <w:rFonts w:ascii="Times New Roman" w:hAnsi="Times New Roman" w:eastAsia="仿宋_GB2312" w:cs="Times New Roman"/>
              </w:rPr>
            </w:pPr>
            <w:r>
              <w:t>≤1元/份</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重大安全生产事故起数</w:t>
            </w:r>
          </w:p>
        </w:tc>
        <w:tc>
          <w:tcPr>
            <w:tcW w:w="3402" w:type="dxa"/>
            <w:shd w:val="clear" w:color="auto" w:fill="auto"/>
            <w:vAlign w:val="center"/>
          </w:tcPr>
          <w:p>
            <w:pPr>
              <w:pStyle w:val="18"/>
              <w:rPr>
                <w:rFonts w:ascii="Times New Roman" w:hAnsi="Times New Roman" w:eastAsia="仿宋_GB2312" w:cs="Times New Roman"/>
              </w:rPr>
            </w:pPr>
            <w:r>
              <w:t>通过项目实施重大安全生产事故发生情况</w:t>
            </w:r>
          </w:p>
        </w:tc>
        <w:tc>
          <w:tcPr>
            <w:tcW w:w="1843" w:type="dxa"/>
            <w:shd w:val="clear" w:color="auto" w:fill="auto"/>
            <w:vAlign w:val="center"/>
          </w:tcPr>
          <w:p>
            <w:pPr>
              <w:pStyle w:val="18"/>
              <w:rPr>
                <w:rFonts w:ascii="Times New Roman" w:hAnsi="Times New Roman" w:eastAsia="仿宋_GB2312" w:cs="Times New Roman"/>
              </w:rPr>
            </w:pPr>
            <w:r>
              <w:t>≤1起</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监管企业满意度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w:t>
      </w:r>
      <w:r>
        <w:rPr>
          <w:rFonts w:hint="eastAsia" w:ascii="Times New Roman" w:hAnsi="Times New Roman" w:eastAsia="仿宋_GB2312" w:cs="Times New Roman"/>
          <w:sz w:val="28"/>
        </w:rPr>
        <w:t>办公地点搬迁所需资金</w:t>
      </w:r>
      <w:r>
        <w:rPr>
          <w:rFonts w:ascii="Times New Roman" w:hAnsi="Times New Roman" w:eastAsia="仿宋_GB2312" w:cs="Times New Roman"/>
          <w:sz w:val="28"/>
        </w:rPr>
        <w:t>绩效目标表</w:t>
      </w: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1.目标内容1：通过项目开展，保障搬迁工作顺利完成</w:t>
            </w:r>
          </w:p>
          <w:p>
            <w:pPr>
              <w:spacing w:line="584" w:lineRule="exact"/>
              <w:rPr>
                <w:rFonts w:ascii="Times New Roman" w:hAnsi="Times New Roman" w:eastAsia="仿宋_GB2312" w:cs="Times New Roman"/>
                <w:b/>
              </w:rPr>
            </w:pPr>
            <w:r>
              <w:t>2.目标内容2：通过办公地点搬迁工作开展，有效提高办公效率，保障机关提供更优质服务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保洁面积</w:t>
            </w:r>
          </w:p>
        </w:tc>
        <w:tc>
          <w:tcPr>
            <w:tcW w:w="3402" w:type="dxa"/>
            <w:shd w:val="clear" w:color="auto" w:fill="auto"/>
            <w:vAlign w:val="center"/>
          </w:tcPr>
          <w:p>
            <w:pPr>
              <w:pStyle w:val="18"/>
              <w:rPr>
                <w:rFonts w:ascii="Times New Roman" w:hAnsi="Times New Roman" w:eastAsia="仿宋_GB2312" w:cs="Times New Roman"/>
              </w:rPr>
            </w:pPr>
            <w:r>
              <w:t>保洁面积</w:t>
            </w:r>
          </w:p>
        </w:tc>
        <w:tc>
          <w:tcPr>
            <w:tcW w:w="1843" w:type="dxa"/>
            <w:shd w:val="clear" w:color="auto" w:fill="auto"/>
            <w:vAlign w:val="center"/>
          </w:tcPr>
          <w:p>
            <w:pPr>
              <w:pStyle w:val="18"/>
              <w:rPr>
                <w:rFonts w:ascii="Times New Roman" w:hAnsi="Times New Roman" w:eastAsia="仿宋_GB2312" w:cs="Times New Roman"/>
              </w:rPr>
            </w:pPr>
            <w:r>
              <w:t>≥2400平方米</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搬迁工作完成率</w:t>
            </w:r>
          </w:p>
        </w:tc>
        <w:tc>
          <w:tcPr>
            <w:tcW w:w="3402" w:type="dxa"/>
            <w:shd w:val="clear" w:color="auto" w:fill="auto"/>
            <w:vAlign w:val="center"/>
          </w:tcPr>
          <w:p>
            <w:pPr>
              <w:pStyle w:val="18"/>
              <w:rPr>
                <w:rFonts w:ascii="Times New Roman" w:hAnsi="Times New Roman" w:eastAsia="仿宋_GB2312" w:cs="Times New Roman"/>
              </w:rPr>
            </w:pPr>
            <w:r>
              <w:t>各项搬迁工作完成率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搬迁工作完成时间</w:t>
            </w:r>
          </w:p>
        </w:tc>
        <w:tc>
          <w:tcPr>
            <w:tcW w:w="3402" w:type="dxa"/>
            <w:shd w:val="clear" w:color="auto" w:fill="auto"/>
            <w:vAlign w:val="center"/>
          </w:tcPr>
          <w:p>
            <w:pPr>
              <w:pStyle w:val="18"/>
              <w:rPr>
                <w:rFonts w:ascii="Times New Roman" w:hAnsi="Times New Roman" w:eastAsia="仿宋_GB2312" w:cs="Times New Roman"/>
              </w:rPr>
            </w:pPr>
            <w:r>
              <w:t>搬迁工作完成时间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搬迁平均成本</w:t>
            </w:r>
          </w:p>
        </w:tc>
        <w:tc>
          <w:tcPr>
            <w:tcW w:w="3402" w:type="dxa"/>
            <w:shd w:val="clear" w:color="auto" w:fill="auto"/>
            <w:vAlign w:val="center"/>
          </w:tcPr>
          <w:p>
            <w:pPr>
              <w:pStyle w:val="18"/>
              <w:rPr>
                <w:rFonts w:ascii="Times New Roman" w:hAnsi="Times New Roman" w:eastAsia="仿宋_GB2312" w:cs="Times New Roman"/>
              </w:rPr>
            </w:pPr>
            <w:r>
              <w:t>搬迁平均成本</w:t>
            </w:r>
          </w:p>
        </w:tc>
        <w:tc>
          <w:tcPr>
            <w:tcW w:w="1843" w:type="dxa"/>
            <w:shd w:val="clear" w:color="auto" w:fill="auto"/>
            <w:vAlign w:val="center"/>
          </w:tcPr>
          <w:p>
            <w:pPr>
              <w:pStyle w:val="18"/>
              <w:rPr>
                <w:rFonts w:ascii="Times New Roman" w:hAnsi="Times New Roman" w:eastAsia="仿宋_GB2312" w:cs="Times New Roman"/>
              </w:rPr>
            </w:pPr>
            <w:r>
              <w:t>≤70元/平方米</w:t>
            </w:r>
          </w:p>
        </w:tc>
        <w:tc>
          <w:tcPr>
            <w:tcW w:w="2155" w:type="dxa"/>
            <w:shd w:val="clear" w:color="auto" w:fill="auto"/>
            <w:vAlign w:val="center"/>
          </w:tcPr>
          <w:p>
            <w:pPr>
              <w:pStyle w:val="18"/>
              <w:rPr>
                <w:rFonts w:ascii="Times New Roman" w:hAnsi="Times New Roman" w:eastAsia="仿宋_GB2312" w:cs="Times New Roman"/>
              </w:rPr>
            </w:pPr>
            <w:r>
              <w:t>搬迁工作合同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保障机关提供更优质服务</w:t>
            </w:r>
          </w:p>
        </w:tc>
        <w:tc>
          <w:tcPr>
            <w:tcW w:w="3402" w:type="dxa"/>
            <w:shd w:val="clear" w:color="auto" w:fill="auto"/>
            <w:vAlign w:val="center"/>
          </w:tcPr>
          <w:p>
            <w:pPr>
              <w:pStyle w:val="18"/>
              <w:rPr>
                <w:rFonts w:ascii="Times New Roman" w:hAnsi="Times New Roman" w:eastAsia="仿宋_GB2312" w:cs="Times New Roman"/>
              </w:rPr>
            </w:pPr>
            <w:r>
              <w:t>保障机关提供更优质服务</w:t>
            </w:r>
          </w:p>
        </w:tc>
        <w:tc>
          <w:tcPr>
            <w:tcW w:w="1843" w:type="dxa"/>
            <w:shd w:val="clear" w:color="auto" w:fill="auto"/>
            <w:vAlign w:val="center"/>
          </w:tcPr>
          <w:p>
            <w:pPr>
              <w:pStyle w:val="18"/>
              <w:rPr>
                <w:rFonts w:ascii="Times New Roman" w:hAnsi="Times New Roman" w:eastAsia="仿宋_GB2312" w:cs="Times New Roman"/>
              </w:rPr>
            </w:pPr>
            <w:r>
              <w:t>有效保障</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可持续影响指标</w:t>
            </w:r>
          </w:p>
        </w:tc>
        <w:tc>
          <w:tcPr>
            <w:tcW w:w="1985" w:type="dxa"/>
            <w:shd w:val="clear" w:color="auto" w:fill="auto"/>
            <w:vAlign w:val="center"/>
          </w:tcPr>
          <w:p>
            <w:pPr>
              <w:pStyle w:val="18"/>
              <w:rPr>
                <w:rFonts w:ascii="Times New Roman" w:hAnsi="Times New Roman" w:eastAsia="仿宋_GB2312" w:cs="Times New Roman"/>
              </w:rPr>
            </w:pPr>
            <w:r>
              <w:t>保障机关工作正常运转</w:t>
            </w:r>
          </w:p>
        </w:tc>
        <w:tc>
          <w:tcPr>
            <w:tcW w:w="3402" w:type="dxa"/>
            <w:shd w:val="clear" w:color="auto" w:fill="auto"/>
            <w:vAlign w:val="center"/>
          </w:tcPr>
          <w:p>
            <w:pPr>
              <w:pStyle w:val="18"/>
              <w:rPr>
                <w:rFonts w:ascii="Times New Roman" w:hAnsi="Times New Roman" w:eastAsia="仿宋_GB2312" w:cs="Times New Roman"/>
              </w:rPr>
            </w:pPr>
            <w:r>
              <w:t>保障机关工作正常运转</w:t>
            </w:r>
          </w:p>
        </w:tc>
        <w:tc>
          <w:tcPr>
            <w:tcW w:w="1843" w:type="dxa"/>
            <w:shd w:val="clear" w:color="auto" w:fill="auto"/>
            <w:vAlign w:val="center"/>
          </w:tcPr>
          <w:p>
            <w:pPr>
              <w:pStyle w:val="18"/>
              <w:rPr>
                <w:rFonts w:ascii="Times New Roman" w:hAnsi="Times New Roman" w:eastAsia="仿宋_GB2312" w:cs="Times New Roman"/>
              </w:rPr>
            </w:pPr>
            <w:r>
              <w:t>有效保障</w:t>
            </w:r>
          </w:p>
        </w:tc>
        <w:tc>
          <w:tcPr>
            <w:tcW w:w="2155" w:type="dxa"/>
            <w:shd w:val="clear" w:color="auto" w:fill="auto"/>
            <w:vAlign w:val="center"/>
          </w:tcPr>
          <w:p>
            <w:pPr>
              <w:pStyle w:val="1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搬迁单位满意度</w:t>
            </w:r>
          </w:p>
        </w:tc>
        <w:tc>
          <w:tcPr>
            <w:tcW w:w="3402" w:type="dxa"/>
            <w:shd w:val="clear" w:color="auto" w:fill="auto"/>
            <w:vAlign w:val="center"/>
          </w:tcPr>
          <w:p>
            <w:pPr>
              <w:pStyle w:val="18"/>
              <w:rPr>
                <w:rFonts w:ascii="Times New Roman" w:hAnsi="Times New Roman" w:eastAsia="仿宋_GB2312" w:cs="Times New Roman"/>
              </w:rPr>
            </w:pPr>
            <w:r>
              <w:t>搬迁单位满意度</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numPr>
          <w:ilvl w:val="0"/>
          <w:numId w:val="0"/>
        </w:numPr>
        <w:spacing w:line="584" w:lineRule="exact"/>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spacing w:line="584" w:lineRule="exact"/>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促进外贸企业发展业务经费绩效目标表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ascii="Times New Roman" w:hAnsi="Times New Roman" w:eastAsia="仿宋_GB2312" w:cs="Times New Roman"/>
                <w:b/>
                <w:kern w:val="2"/>
                <w:sz w:val="21"/>
                <w:szCs w:val="22"/>
                <w:lang w:val="en-US" w:eastAsia="zh-CN" w:bidi="ar-SA"/>
              </w:rPr>
              <w:t>绩效目标</w:t>
            </w:r>
          </w:p>
        </w:tc>
        <w:tc>
          <w:tcPr>
            <w:tcW w:w="7399" w:type="dxa"/>
            <w:tcBorders>
              <w:bottom w:val="single" w:color="FFFFFF" w:sz="6" w:space="0"/>
            </w:tcBorders>
            <w:vAlign w:val="center"/>
          </w:tcPr>
          <w:p>
            <w:pPr>
              <w:pStyle w:val="18"/>
            </w:pPr>
            <w:r>
              <w:t>1.目标内容1：通过组织企业参加参展廊坊经洽会及展会，为我市经济发展奠定良好基础，实现宣传推介三河的良好效果。</w:t>
            </w:r>
          </w:p>
          <w:p>
            <w:pPr>
              <w:pStyle w:val="18"/>
            </w:pPr>
            <w:r>
              <w:t>2.目标内容2：通过廊坊经洽会及展会，着力提升知名度和影响力。保障对外开放办、开发区改革办日常办公需求。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一级指标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二级指标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三级指标</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绩效指标描述</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w:t>
            </w:r>
          </w:p>
        </w:tc>
        <w:tc>
          <w:tcPr>
            <w:tcW w:w="2466" w:type="dxa"/>
            <w:vAlign w:val="center"/>
          </w:tcPr>
          <w:p>
            <w:pPr>
              <w:pStyle w:val="16"/>
              <w:rPr>
                <w:rFonts w:ascii="Times New Roman" w:hAnsi="Times New Roman" w:eastAsia="仿宋_GB2312" w:cs="Times New Roman"/>
                <w:b/>
                <w:kern w:val="2"/>
                <w:sz w:val="21"/>
                <w:szCs w:val="22"/>
                <w:lang w:val="en-US" w:eastAsia="zh-CN" w:bidi="ar-SA"/>
              </w:rPr>
            </w:pPr>
            <w:r>
              <w:rPr>
                <w:rFonts w:ascii="Times New Roman" w:hAnsi="Times New Roman" w:eastAsia="仿宋_GB2312" w:cs="Times New Roman"/>
                <w:b/>
                <w:kern w:val="2"/>
                <w:sz w:val="21"/>
                <w:szCs w:val="22"/>
                <w:lang w:val="en-US" w:eastAsia="zh-CN" w:bidi="ar-S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参加会议数量</w:t>
            </w:r>
          </w:p>
        </w:tc>
        <w:tc>
          <w:tcPr>
            <w:tcW w:w="2466" w:type="dxa"/>
            <w:vAlign w:val="center"/>
          </w:tcPr>
          <w:p>
            <w:pPr>
              <w:pStyle w:val="18"/>
            </w:pPr>
            <w:r>
              <w:t>参加会议数量</w:t>
            </w:r>
          </w:p>
        </w:tc>
        <w:tc>
          <w:tcPr>
            <w:tcW w:w="2466" w:type="dxa"/>
            <w:vAlign w:val="center"/>
          </w:tcPr>
          <w:p>
            <w:pPr>
              <w:pStyle w:val="18"/>
            </w:pPr>
            <w:r>
              <w:t>≥4次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活动成功率</w:t>
            </w:r>
          </w:p>
        </w:tc>
        <w:tc>
          <w:tcPr>
            <w:tcW w:w="2466" w:type="dxa"/>
            <w:vAlign w:val="center"/>
          </w:tcPr>
          <w:p>
            <w:pPr>
              <w:pStyle w:val="18"/>
            </w:pPr>
            <w:r>
              <w:t>举办活动成功率</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印制宣传资料成本</w:t>
            </w:r>
          </w:p>
        </w:tc>
        <w:tc>
          <w:tcPr>
            <w:tcW w:w="2466" w:type="dxa"/>
            <w:vAlign w:val="center"/>
          </w:tcPr>
          <w:p>
            <w:pPr>
              <w:pStyle w:val="18"/>
            </w:pPr>
            <w:r>
              <w:t>每本宣传资料成本</w:t>
            </w:r>
          </w:p>
        </w:tc>
        <w:tc>
          <w:tcPr>
            <w:tcW w:w="2466" w:type="dxa"/>
            <w:vAlign w:val="center"/>
          </w:tcPr>
          <w:p>
            <w:pPr>
              <w:pStyle w:val="18"/>
            </w:pPr>
            <w:r>
              <w:t>≤15元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达成合作意向总投资额</w:t>
            </w:r>
          </w:p>
        </w:tc>
        <w:tc>
          <w:tcPr>
            <w:tcW w:w="2466" w:type="dxa"/>
            <w:vAlign w:val="center"/>
          </w:tcPr>
          <w:p>
            <w:pPr>
              <w:pStyle w:val="18"/>
            </w:pPr>
            <w:r>
              <w:t>活动期间达成合作意向总投资额</w:t>
            </w:r>
          </w:p>
        </w:tc>
        <w:tc>
          <w:tcPr>
            <w:tcW w:w="2466" w:type="dxa"/>
            <w:vAlign w:val="center"/>
          </w:tcPr>
          <w:p>
            <w:pPr>
              <w:pStyle w:val="18"/>
            </w:pPr>
            <w:r>
              <w:t>≥10亿元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对社会发展带来的影响情况</w:t>
            </w:r>
          </w:p>
        </w:tc>
        <w:tc>
          <w:tcPr>
            <w:tcW w:w="2466" w:type="dxa"/>
            <w:vAlign w:val="center"/>
          </w:tcPr>
          <w:p>
            <w:pPr>
              <w:pStyle w:val="18"/>
            </w:pPr>
            <w:r>
              <w:t>促进产业结构改善</w:t>
            </w:r>
          </w:p>
        </w:tc>
        <w:tc>
          <w:tcPr>
            <w:tcW w:w="2466" w:type="dxa"/>
            <w:vAlign w:val="center"/>
          </w:tcPr>
          <w:p>
            <w:pPr>
              <w:pStyle w:val="18"/>
            </w:pPr>
            <w:r>
              <w:t>有效促进</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参展企业满意度</w:t>
            </w:r>
          </w:p>
        </w:tc>
        <w:tc>
          <w:tcPr>
            <w:tcW w:w="2466" w:type="dxa"/>
            <w:vAlign w:val="center"/>
          </w:tcPr>
          <w:p>
            <w:pPr>
              <w:pStyle w:val="18"/>
            </w:pPr>
            <w:r>
              <w:t>参加展会企业的满意度</w:t>
            </w:r>
          </w:p>
        </w:tc>
        <w:tc>
          <w:tcPr>
            <w:tcW w:w="2466" w:type="dxa"/>
            <w:vAlign w:val="center"/>
          </w:tcPr>
          <w:p>
            <w:pPr>
              <w:pStyle w:val="18"/>
            </w:pPr>
            <w:r>
              <w:t>≥90%</w:t>
            </w:r>
          </w:p>
        </w:tc>
        <w:tc>
          <w:tcPr>
            <w:tcW w:w="2466" w:type="dxa"/>
            <w:vAlign w:val="center"/>
          </w:tcPr>
          <w:p>
            <w:pPr>
              <w:pStyle w:val="18"/>
            </w:pPr>
            <w:r>
              <w:t>调查问卷</w:t>
            </w:r>
          </w:p>
        </w:tc>
      </w:tr>
    </w:tbl>
    <w:p>
      <w:pPr>
        <w:spacing w:before="0" w:after="0"/>
        <w:ind w:firstLine="560"/>
        <w:jc w:val="left"/>
        <w:outlineLvl w:val="9"/>
        <w:rPr>
          <w:rFonts w:ascii="方正仿宋_GBK" w:hAnsi="方正仿宋_GBK" w:eastAsia="方正仿宋_GBK" w:cs="方正仿宋_GBK"/>
          <w:b/>
          <w:color w:val="000000"/>
          <w:sz w:val="28"/>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4、档案业务经费绩效目标表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1.目标内容1：通过加强档案业务管理相关工作，力争到本年底达到2A级管理水平</w:t>
            </w:r>
          </w:p>
          <w:p>
            <w:pPr>
              <w:pStyle w:val="18"/>
            </w:pPr>
            <w:r>
              <w:t>2.目标内容2：通过项目的开展，力争实现省政府办公厅档案管理“十四五”目标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录入档案信息数量</w:t>
            </w:r>
          </w:p>
        </w:tc>
        <w:tc>
          <w:tcPr>
            <w:tcW w:w="2466" w:type="dxa"/>
            <w:vAlign w:val="center"/>
          </w:tcPr>
          <w:p>
            <w:pPr>
              <w:pStyle w:val="18"/>
            </w:pPr>
            <w:r>
              <w:t>录入档案信息数量</w:t>
            </w:r>
          </w:p>
        </w:tc>
        <w:tc>
          <w:tcPr>
            <w:tcW w:w="2466" w:type="dxa"/>
            <w:vAlign w:val="center"/>
          </w:tcPr>
          <w:p>
            <w:pPr>
              <w:pStyle w:val="18"/>
            </w:pPr>
            <w:r>
              <w:t>≥100条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档案室建设工作完成率</w:t>
            </w:r>
          </w:p>
        </w:tc>
        <w:tc>
          <w:tcPr>
            <w:tcW w:w="2466" w:type="dxa"/>
            <w:vAlign w:val="center"/>
          </w:tcPr>
          <w:p>
            <w:pPr>
              <w:pStyle w:val="18"/>
            </w:pPr>
            <w:r>
              <w:t>档案室建设工作完成情况百分比</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档案录入单位成本</w:t>
            </w:r>
          </w:p>
        </w:tc>
        <w:tc>
          <w:tcPr>
            <w:tcW w:w="2466" w:type="dxa"/>
            <w:vAlign w:val="center"/>
          </w:tcPr>
          <w:p>
            <w:pPr>
              <w:pStyle w:val="18"/>
            </w:pPr>
            <w:r>
              <w:t>档案录入单位成本</w:t>
            </w:r>
          </w:p>
        </w:tc>
        <w:tc>
          <w:tcPr>
            <w:tcW w:w="2466" w:type="dxa"/>
            <w:vAlign w:val="center"/>
          </w:tcPr>
          <w:p>
            <w:pPr>
              <w:pStyle w:val="18"/>
            </w:pPr>
            <w:r>
              <w:t>≤15元/条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可持续影响指标</w:t>
            </w:r>
          </w:p>
        </w:tc>
        <w:tc>
          <w:tcPr>
            <w:tcW w:w="2466" w:type="dxa"/>
            <w:vAlign w:val="center"/>
          </w:tcPr>
          <w:p>
            <w:pPr>
              <w:pStyle w:val="18"/>
            </w:pPr>
            <w:r>
              <w:t>提高档案业务管理水平</w:t>
            </w:r>
          </w:p>
        </w:tc>
        <w:tc>
          <w:tcPr>
            <w:tcW w:w="2466" w:type="dxa"/>
            <w:vAlign w:val="center"/>
          </w:tcPr>
          <w:p>
            <w:pPr>
              <w:pStyle w:val="18"/>
            </w:pPr>
            <w:r>
              <w:t>提高档案业务管理水平</w:t>
            </w:r>
          </w:p>
        </w:tc>
        <w:tc>
          <w:tcPr>
            <w:tcW w:w="2466" w:type="dxa"/>
            <w:vAlign w:val="center"/>
          </w:tcPr>
          <w:p>
            <w:pPr>
              <w:pStyle w:val="18"/>
            </w:pPr>
            <w:r>
              <w:t>有效提高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逐步实现省厅规定目标</w:t>
            </w:r>
          </w:p>
        </w:tc>
        <w:tc>
          <w:tcPr>
            <w:tcW w:w="2466" w:type="dxa"/>
            <w:vAlign w:val="center"/>
          </w:tcPr>
          <w:p>
            <w:pPr>
              <w:pStyle w:val="18"/>
            </w:pPr>
            <w:r>
              <w:t>逐步实现省厅规定目标</w:t>
            </w:r>
          </w:p>
        </w:tc>
        <w:tc>
          <w:tcPr>
            <w:tcW w:w="2466" w:type="dxa"/>
            <w:vAlign w:val="center"/>
          </w:tcPr>
          <w:p>
            <w:pPr>
              <w:pStyle w:val="18"/>
            </w:pPr>
            <w:r>
              <w:t>逐步实现</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服务对象满意程度</w:t>
            </w:r>
          </w:p>
        </w:tc>
        <w:tc>
          <w:tcPr>
            <w:tcW w:w="2466" w:type="dxa"/>
            <w:vAlign w:val="center"/>
          </w:tcPr>
          <w:p>
            <w:pPr>
              <w:pStyle w:val="18"/>
            </w:pPr>
            <w:r>
              <w:t>≥90%</w:t>
            </w:r>
          </w:p>
        </w:tc>
        <w:tc>
          <w:tcPr>
            <w:tcW w:w="2466" w:type="dxa"/>
            <w:vAlign w:val="center"/>
          </w:tcPr>
          <w:p>
            <w:pPr>
              <w:pStyle w:val="18"/>
            </w:pPr>
            <w:r>
              <w:t>调查问卷</w:t>
            </w:r>
          </w:p>
        </w:tc>
      </w:tr>
    </w:tbl>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5、解决历史遗留问题经费绩效目标表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1.目标内容1：通过项目开展，确保小区内卫生整洁</w:t>
            </w:r>
          </w:p>
          <w:p>
            <w:pPr>
              <w:pStyle w:val="18"/>
            </w:pPr>
            <w:r>
              <w:t>2.目标内容2：通过物业管理服务，维护稳定局面，减少群访事件发生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负责无物业小区数量</w:t>
            </w:r>
          </w:p>
        </w:tc>
        <w:tc>
          <w:tcPr>
            <w:tcW w:w="2466" w:type="dxa"/>
            <w:vAlign w:val="center"/>
          </w:tcPr>
          <w:p>
            <w:pPr>
              <w:pStyle w:val="18"/>
            </w:pPr>
            <w:r>
              <w:t>负责无物业小区数量</w:t>
            </w:r>
          </w:p>
        </w:tc>
        <w:tc>
          <w:tcPr>
            <w:tcW w:w="2466" w:type="dxa"/>
            <w:vAlign w:val="center"/>
          </w:tcPr>
          <w:p>
            <w:pPr>
              <w:pStyle w:val="18"/>
            </w:pPr>
            <w:r>
              <w:t>1个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物业管理工作完成率</w:t>
            </w:r>
          </w:p>
        </w:tc>
        <w:tc>
          <w:tcPr>
            <w:tcW w:w="2466" w:type="dxa"/>
            <w:vAlign w:val="center"/>
          </w:tcPr>
          <w:p>
            <w:pPr>
              <w:pStyle w:val="18"/>
            </w:pPr>
            <w:r>
              <w:t>物业管理工作完成率</w:t>
            </w:r>
          </w:p>
        </w:tc>
        <w:tc>
          <w:tcPr>
            <w:tcW w:w="2466" w:type="dxa"/>
            <w:vAlign w:val="center"/>
          </w:tcPr>
          <w:p>
            <w:pPr>
              <w:pStyle w:val="18"/>
            </w:pPr>
            <w:r>
              <w:t>100%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月勤杂费用</w:t>
            </w:r>
          </w:p>
        </w:tc>
        <w:tc>
          <w:tcPr>
            <w:tcW w:w="2466" w:type="dxa"/>
            <w:vAlign w:val="center"/>
          </w:tcPr>
          <w:p>
            <w:pPr>
              <w:pStyle w:val="18"/>
            </w:pPr>
            <w:r>
              <w:t>月勤杂费用</w:t>
            </w:r>
          </w:p>
        </w:tc>
        <w:tc>
          <w:tcPr>
            <w:tcW w:w="2466" w:type="dxa"/>
            <w:vAlign w:val="center"/>
          </w:tcPr>
          <w:p>
            <w:pPr>
              <w:pStyle w:val="18"/>
            </w:pPr>
            <w:r>
              <w:t>≤2200元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维护稳定，减少群访事件发生</w:t>
            </w:r>
          </w:p>
        </w:tc>
        <w:tc>
          <w:tcPr>
            <w:tcW w:w="2466" w:type="dxa"/>
            <w:vAlign w:val="center"/>
          </w:tcPr>
          <w:p>
            <w:pPr>
              <w:pStyle w:val="18"/>
            </w:pPr>
            <w:r>
              <w:t>维护稳定，减少群访事件发生</w:t>
            </w:r>
          </w:p>
        </w:tc>
        <w:tc>
          <w:tcPr>
            <w:tcW w:w="2466" w:type="dxa"/>
            <w:vAlign w:val="center"/>
          </w:tcPr>
          <w:p>
            <w:pPr>
              <w:pStyle w:val="18"/>
            </w:pPr>
            <w:r>
              <w:t>有效维护</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居民满意度</w:t>
            </w:r>
          </w:p>
        </w:tc>
        <w:tc>
          <w:tcPr>
            <w:tcW w:w="2466" w:type="dxa"/>
            <w:vAlign w:val="center"/>
          </w:tcPr>
          <w:p>
            <w:pPr>
              <w:pStyle w:val="18"/>
            </w:pPr>
            <w:r>
              <w:t>居民满意度</w:t>
            </w:r>
          </w:p>
        </w:tc>
        <w:tc>
          <w:tcPr>
            <w:tcW w:w="2466" w:type="dxa"/>
            <w:vAlign w:val="center"/>
          </w:tcPr>
          <w:p>
            <w:pPr>
              <w:pStyle w:val="18"/>
            </w:pPr>
            <w:r>
              <w:t>≥90%</w:t>
            </w:r>
          </w:p>
        </w:tc>
        <w:tc>
          <w:tcPr>
            <w:tcW w:w="2466" w:type="dxa"/>
            <w:vAlign w:val="center"/>
          </w:tcPr>
          <w:p>
            <w:pPr>
              <w:pStyle w:val="18"/>
            </w:pPr>
            <w:r>
              <w:t>调查问卷</w:t>
            </w:r>
          </w:p>
        </w:tc>
      </w:tr>
    </w:tbl>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6、解决历史遗留问题年度保障经费绩效目标表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1.目标内容1：通过解决三总历史遗留问题，实现维护各类人群思想稳定、保证社会稳定，维护社会秩序</w:t>
            </w:r>
          </w:p>
          <w:p>
            <w:pPr>
              <w:pStyle w:val="18"/>
            </w:pPr>
            <w:r>
              <w:t>2.目标内容2：通过对下岗人员、涉军群体、法轮功人员等群体进行看护、接访，发放特困补助、对外贸家属楼物业管理等工作开展，解决三总历史遗留问题，保障各类人群思想稳定，确保不出现非法上访事件。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慰问人员数量</w:t>
            </w:r>
          </w:p>
        </w:tc>
        <w:tc>
          <w:tcPr>
            <w:tcW w:w="2466" w:type="dxa"/>
            <w:vAlign w:val="center"/>
          </w:tcPr>
          <w:p>
            <w:pPr>
              <w:pStyle w:val="18"/>
            </w:pPr>
            <w:r>
              <w:t>全年慰问人员数量</w:t>
            </w:r>
          </w:p>
        </w:tc>
        <w:tc>
          <w:tcPr>
            <w:tcW w:w="2466" w:type="dxa"/>
            <w:vAlign w:val="center"/>
          </w:tcPr>
          <w:p>
            <w:pPr>
              <w:pStyle w:val="18"/>
            </w:pPr>
            <w:r>
              <w:t>≥60人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聘用人员数量</w:t>
            </w:r>
          </w:p>
        </w:tc>
        <w:tc>
          <w:tcPr>
            <w:tcW w:w="2466" w:type="dxa"/>
            <w:vAlign w:val="center"/>
          </w:tcPr>
          <w:p>
            <w:pPr>
              <w:pStyle w:val="18"/>
            </w:pPr>
            <w:r>
              <w:t>聘用人员数量</w:t>
            </w:r>
          </w:p>
        </w:tc>
        <w:tc>
          <w:tcPr>
            <w:tcW w:w="2466" w:type="dxa"/>
            <w:vAlign w:val="center"/>
          </w:tcPr>
          <w:p>
            <w:pPr>
              <w:pStyle w:val="18"/>
            </w:pPr>
            <w:r>
              <w:t>≤5人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慰问人员覆盖率</w:t>
            </w:r>
          </w:p>
        </w:tc>
        <w:tc>
          <w:tcPr>
            <w:tcW w:w="2466" w:type="dxa"/>
            <w:vAlign w:val="center"/>
          </w:tcPr>
          <w:p>
            <w:pPr>
              <w:pStyle w:val="18"/>
            </w:pPr>
            <w:r>
              <w:t>慰问人员占三总全部退休及特困人员比率</w:t>
            </w:r>
          </w:p>
        </w:tc>
        <w:tc>
          <w:tcPr>
            <w:tcW w:w="2466" w:type="dxa"/>
            <w:vAlign w:val="center"/>
          </w:tcPr>
          <w:p>
            <w:pPr>
              <w:pStyle w:val="18"/>
            </w:pPr>
            <w:r>
              <w:t>≥10%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慰问标准</w:t>
            </w:r>
          </w:p>
        </w:tc>
        <w:tc>
          <w:tcPr>
            <w:tcW w:w="2466" w:type="dxa"/>
            <w:vAlign w:val="center"/>
          </w:tcPr>
          <w:p>
            <w:pPr>
              <w:pStyle w:val="18"/>
            </w:pPr>
            <w:r>
              <w:t>每人慰问标准</w:t>
            </w:r>
          </w:p>
        </w:tc>
        <w:tc>
          <w:tcPr>
            <w:tcW w:w="2466" w:type="dxa"/>
            <w:vAlign w:val="center"/>
          </w:tcPr>
          <w:p>
            <w:pPr>
              <w:pStyle w:val="18"/>
            </w:pPr>
            <w:r>
              <w:t>≤1000元</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预防和减少不稳定隐患率</w:t>
            </w:r>
          </w:p>
        </w:tc>
        <w:tc>
          <w:tcPr>
            <w:tcW w:w="2466" w:type="dxa"/>
            <w:vAlign w:val="center"/>
          </w:tcPr>
          <w:p>
            <w:pPr>
              <w:pStyle w:val="18"/>
            </w:pPr>
            <w:r>
              <w:t>上访事件及人数与上年同期相比减少比率</w:t>
            </w:r>
          </w:p>
        </w:tc>
        <w:tc>
          <w:tcPr>
            <w:tcW w:w="2466" w:type="dxa"/>
            <w:vAlign w:val="center"/>
          </w:tcPr>
          <w:p>
            <w:pPr>
              <w:pStyle w:val="18"/>
            </w:pPr>
            <w:r>
              <w:t>≥5%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受益群体满意度</w:t>
            </w:r>
          </w:p>
        </w:tc>
        <w:tc>
          <w:tcPr>
            <w:tcW w:w="2466" w:type="dxa"/>
            <w:vAlign w:val="center"/>
          </w:tcPr>
          <w:p>
            <w:pPr>
              <w:pStyle w:val="18"/>
            </w:pPr>
            <w:r>
              <w:t>三总特困群体满意程度</w:t>
            </w:r>
          </w:p>
        </w:tc>
        <w:tc>
          <w:tcPr>
            <w:tcW w:w="2466" w:type="dxa"/>
            <w:vAlign w:val="center"/>
          </w:tcPr>
          <w:p>
            <w:pPr>
              <w:pStyle w:val="18"/>
            </w:pPr>
            <w:r>
              <w:t>≥90%</w:t>
            </w:r>
          </w:p>
        </w:tc>
        <w:tc>
          <w:tcPr>
            <w:tcW w:w="2466" w:type="dxa"/>
            <w:vAlign w:val="center"/>
          </w:tcPr>
          <w:p>
            <w:pPr>
              <w:pStyle w:val="18"/>
            </w:pPr>
            <w:r>
              <w:t>调查问卷或电话调查</w:t>
            </w:r>
          </w:p>
        </w:tc>
      </w:tr>
    </w:tbl>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7、三河市消费扶贫专馆运营资金绩效目标表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762"/>
        <w:gridCol w:w="803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676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036" w:type="dxa"/>
            <w:tcBorders>
              <w:bottom w:val="single" w:color="FFFFFF" w:sz="6" w:space="0"/>
            </w:tcBorders>
            <w:vAlign w:val="center"/>
          </w:tcPr>
          <w:p>
            <w:pPr>
              <w:pStyle w:val="18"/>
            </w:pPr>
            <w:r>
              <w:t>1.目标内容1：通过项目开展，连接打通销售渠道，展销本地和外地优质扶贫产品。</w:t>
            </w:r>
          </w:p>
          <w:p>
            <w:pPr>
              <w:pStyle w:val="18"/>
            </w:pPr>
            <w:r>
              <w:t>2.目标内容2：巩固脱贫成果，助力脱贫攻坚。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1"/>
        <w:gridCol w:w="2475"/>
        <w:gridCol w:w="2610"/>
        <w:gridCol w:w="3465"/>
        <w:gridCol w:w="2119"/>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66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7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61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4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119"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restart"/>
            <w:vAlign w:val="center"/>
          </w:tcPr>
          <w:p>
            <w:pPr>
              <w:pStyle w:val="19"/>
            </w:pPr>
            <w:r>
              <w:t>产出指标</w:t>
            </w:r>
          </w:p>
        </w:tc>
        <w:tc>
          <w:tcPr>
            <w:tcW w:w="2475" w:type="dxa"/>
            <w:vAlign w:val="center"/>
          </w:tcPr>
          <w:p>
            <w:pPr>
              <w:pStyle w:val="18"/>
            </w:pPr>
            <w:r>
              <w:t>数量指标</w:t>
            </w:r>
          </w:p>
        </w:tc>
        <w:tc>
          <w:tcPr>
            <w:tcW w:w="2610" w:type="dxa"/>
            <w:vAlign w:val="center"/>
          </w:tcPr>
          <w:p>
            <w:pPr>
              <w:pStyle w:val="18"/>
            </w:pPr>
            <w:r>
              <w:t>消费扶贫专馆面积数</w:t>
            </w:r>
          </w:p>
        </w:tc>
        <w:tc>
          <w:tcPr>
            <w:tcW w:w="3465" w:type="dxa"/>
            <w:vAlign w:val="center"/>
          </w:tcPr>
          <w:p>
            <w:pPr>
              <w:pStyle w:val="18"/>
            </w:pPr>
            <w:r>
              <w:t>运营消费扶贫专馆面积数量</w:t>
            </w:r>
          </w:p>
        </w:tc>
        <w:tc>
          <w:tcPr>
            <w:tcW w:w="2119" w:type="dxa"/>
            <w:vAlign w:val="center"/>
          </w:tcPr>
          <w:p>
            <w:pPr>
              <w:pStyle w:val="18"/>
            </w:pPr>
            <w:r>
              <w:t>280㎡</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质量指标</w:t>
            </w:r>
          </w:p>
        </w:tc>
        <w:tc>
          <w:tcPr>
            <w:tcW w:w="2610" w:type="dxa"/>
            <w:vAlign w:val="center"/>
          </w:tcPr>
          <w:p>
            <w:pPr>
              <w:pStyle w:val="18"/>
            </w:pPr>
            <w:r>
              <w:t>日常工作保障比率</w:t>
            </w:r>
          </w:p>
        </w:tc>
        <w:tc>
          <w:tcPr>
            <w:tcW w:w="3465" w:type="dxa"/>
            <w:vAlign w:val="center"/>
          </w:tcPr>
          <w:p>
            <w:pPr>
              <w:pStyle w:val="18"/>
            </w:pPr>
            <w:r>
              <w:t>项目对扶贫专馆日常工作保障情况</w:t>
            </w:r>
          </w:p>
        </w:tc>
        <w:tc>
          <w:tcPr>
            <w:tcW w:w="2119" w:type="dxa"/>
            <w:vAlign w:val="center"/>
          </w:tcPr>
          <w:p>
            <w:pPr>
              <w:pStyle w:val="18"/>
            </w:pPr>
            <w:r>
              <w:t>100%</w:t>
            </w:r>
          </w:p>
        </w:tc>
        <w:tc>
          <w:tcPr>
            <w:tcW w:w="2466" w:type="dxa"/>
            <w:vAlign w:val="center"/>
          </w:tcPr>
          <w:p>
            <w:pPr>
              <w:pStyle w:val="18"/>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时效指标</w:t>
            </w:r>
          </w:p>
        </w:tc>
        <w:tc>
          <w:tcPr>
            <w:tcW w:w="2610" w:type="dxa"/>
            <w:vAlign w:val="center"/>
          </w:tcPr>
          <w:p>
            <w:pPr>
              <w:pStyle w:val="18"/>
            </w:pPr>
            <w:r>
              <w:t>项目租金到位及时性</w:t>
            </w:r>
          </w:p>
        </w:tc>
        <w:tc>
          <w:tcPr>
            <w:tcW w:w="3465" w:type="dxa"/>
            <w:vAlign w:val="center"/>
          </w:tcPr>
          <w:p>
            <w:pPr>
              <w:pStyle w:val="18"/>
            </w:pPr>
            <w:r>
              <w:t>项目租金拨付时间</w:t>
            </w:r>
          </w:p>
        </w:tc>
        <w:tc>
          <w:tcPr>
            <w:tcW w:w="2119" w:type="dxa"/>
            <w:vAlign w:val="center"/>
          </w:tcPr>
          <w:p>
            <w:pPr>
              <w:pStyle w:val="18"/>
            </w:pPr>
            <w:r>
              <w:t>≤6月</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Merge w:val="continue"/>
            <w:vAlign w:val="center"/>
          </w:tcPr>
          <w:p/>
        </w:tc>
        <w:tc>
          <w:tcPr>
            <w:tcW w:w="2475" w:type="dxa"/>
            <w:vAlign w:val="center"/>
          </w:tcPr>
          <w:p>
            <w:pPr>
              <w:pStyle w:val="18"/>
            </w:pPr>
            <w:r>
              <w:t>成本指标</w:t>
            </w:r>
          </w:p>
        </w:tc>
        <w:tc>
          <w:tcPr>
            <w:tcW w:w="2610" w:type="dxa"/>
            <w:vAlign w:val="center"/>
          </w:tcPr>
          <w:p>
            <w:pPr>
              <w:pStyle w:val="18"/>
            </w:pPr>
            <w:r>
              <w:t>消费扶贫专馆租金成本</w:t>
            </w:r>
          </w:p>
        </w:tc>
        <w:tc>
          <w:tcPr>
            <w:tcW w:w="3465" w:type="dxa"/>
            <w:vAlign w:val="center"/>
          </w:tcPr>
          <w:p>
            <w:pPr>
              <w:pStyle w:val="18"/>
            </w:pPr>
            <w:r>
              <w:t>消费扶贫专馆租赁租金成本</w:t>
            </w:r>
          </w:p>
        </w:tc>
        <w:tc>
          <w:tcPr>
            <w:tcW w:w="2119" w:type="dxa"/>
            <w:vAlign w:val="center"/>
          </w:tcPr>
          <w:p>
            <w:pPr>
              <w:pStyle w:val="18"/>
            </w:pPr>
            <w:r>
              <w:t>≤1元/平方米/天</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Align w:val="center"/>
          </w:tcPr>
          <w:p>
            <w:pPr>
              <w:pStyle w:val="19"/>
            </w:pPr>
            <w:r>
              <w:t>效益指标</w:t>
            </w:r>
          </w:p>
        </w:tc>
        <w:tc>
          <w:tcPr>
            <w:tcW w:w="2475" w:type="dxa"/>
            <w:vAlign w:val="center"/>
          </w:tcPr>
          <w:p>
            <w:pPr>
              <w:pStyle w:val="18"/>
            </w:pPr>
            <w:r>
              <w:t>社会效益指标</w:t>
            </w:r>
          </w:p>
        </w:tc>
        <w:tc>
          <w:tcPr>
            <w:tcW w:w="2610" w:type="dxa"/>
            <w:vAlign w:val="center"/>
          </w:tcPr>
          <w:p>
            <w:pPr>
              <w:pStyle w:val="18"/>
            </w:pPr>
            <w:r>
              <w:t>增加贫困地区产品销售额，巩固脱贫攻坚成果</w:t>
            </w:r>
          </w:p>
        </w:tc>
        <w:tc>
          <w:tcPr>
            <w:tcW w:w="3465" w:type="dxa"/>
            <w:vAlign w:val="center"/>
          </w:tcPr>
          <w:p>
            <w:pPr>
              <w:pStyle w:val="18"/>
            </w:pPr>
            <w:r>
              <w:t>增加贫困地区产品销售额，巩固脱贫攻坚成果</w:t>
            </w:r>
          </w:p>
        </w:tc>
        <w:tc>
          <w:tcPr>
            <w:tcW w:w="2119" w:type="dxa"/>
            <w:vAlign w:val="center"/>
          </w:tcPr>
          <w:p>
            <w:pPr>
              <w:pStyle w:val="18"/>
            </w:pPr>
            <w:r>
              <w:t>持续巩固</w:t>
            </w:r>
          </w:p>
        </w:tc>
        <w:tc>
          <w:tcPr>
            <w:tcW w:w="2466" w:type="dxa"/>
            <w:vAlign w:val="center"/>
          </w:tcPr>
          <w:p>
            <w:pPr>
              <w:pStyle w:val="18"/>
            </w:pPr>
            <w: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661" w:type="dxa"/>
            <w:vAlign w:val="center"/>
          </w:tcPr>
          <w:p>
            <w:pPr>
              <w:pStyle w:val="19"/>
            </w:pPr>
            <w:r>
              <w:t>满意度指标</w:t>
            </w:r>
          </w:p>
        </w:tc>
        <w:tc>
          <w:tcPr>
            <w:tcW w:w="2475" w:type="dxa"/>
            <w:vAlign w:val="center"/>
          </w:tcPr>
          <w:p>
            <w:pPr>
              <w:pStyle w:val="18"/>
            </w:pPr>
            <w:r>
              <w:t>服务对象满意度指标</w:t>
            </w:r>
          </w:p>
        </w:tc>
        <w:tc>
          <w:tcPr>
            <w:tcW w:w="2610" w:type="dxa"/>
            <w:vAlign w:val="center"/>
          </w:tcPr>
          <w:p>
            <w:pPr>
              <w:pStyle w:val="18"/>
            </w:pPr>
            <w:r>
              <w:t>承租单位满意度</w:t>
            </w:r>
          </w:p>
        </w:tc>
        <w:tc>
          <w:tcPr>
            <w:tcW w:w="3465" w:type="dxa"/>
            <w:vAlign w:val="center"/>
          </w:tcPr>
          <w:p>
            <w:pPr>
              <w:pStyle w:val="18"/>
            </w:pPr>
            <w:r>
              <w:t>承租单位满意度</w:t>
            </w:r>
          </w:p>
        </w:tc>
        <w:tc>
          <w:tcPr>
            <w:tcW w:w="2119" w:type="dxa"/>
            <w:vAlign w:val="center"/>
          </w:tcPr>
          <w:p>
            <w:pPr>
              <w:pStyle w:val="18"/>
            </w:pPr>
            <w:r>
              <w:t>≥95%</w:t>
            </w:r>
          </w:p>
        </w:tc>
        <w:tc>
          <w:tcPr>
            <w:tcW w:w="2466" w:type="dxa"/>
            <w:vAlign w:val="center"/>
          </w:tcPr>
          <w:p>
            <w:pPr>
              <w:pStyle w:val="18"/>
            </w:pPr>
            <w:r>
              <w:t>调查问卷</w:t>
            </w:r>
          </w:p>
        </w:tc>
      </w:tr>
    </w:tbl>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spacing w:before="0" w:after="0"/>
        <w:ind w:firstLine="560"/>
        <w:jc w:val="left"/>
        <w:outlineLvl w:val="9"/>
        <w:rPr>
          <w:rFonts w:ascii="方正仿宋_GBK" w:hAnsi="方正仿宋_GBK" w:eastAsia="方正仿宋_GBK" w:cs="方正仿宋_GBK"/>
          <w:b/>
          <w:color w:val="000000"/>
          <w:sz w:val="28"/>
        </w:rPr>
      </w:pPr>
    </w:p>
    <w:p>
      <w:pPr>
        <w:numPr>
          <w:ilvl w:val="0"/>
          <w:numId w:val="0"/>
        </w:numPr>
        <w:spacing w:line="584" w:lineRule="exact"/>
        <w:ind w:firstLine="560" w:firstLineChars="200"/>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8、三河市消费扶贫专馆运营资金人员经费绩效目标表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1.目标内容1：通过聘用临时人员，确保扶贫专馆日常有效运转</w:t>
            </w:r>
          </w:p>
          <w:p>
            <w:pPr>
              <w:pStyle w:val="18"/>
            </w:pPr>
            <w:r>
              <w:t>2.目标内容2：通过项目开展，连接打通销售渠道，展销本地和外地优质扶贫产品。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聘用人数</w:t>
            </w:r>
          </w:p>
        </w:tc>
        <w:tc>
          <w:tcPr>
            <w:tcW w:w="2466" w:type="dxa"/>
            <w:vAlign w:val="center"/>
          </w:tcPr>
          <w:p>
            <w:pPr>
              <w:pStyle w:val="18"/>
            </w:pPr>
            <w:r>
              <w:t>临时专馆聘用人员数量</w:t>
            </w:r>
          </w:p>
        </w:tc>
        <w:tc>
          <w:tcPr>
            <w:tcW w:w="2466" w:type="dxa"/>
            <w:vAlign w:val="center"/>
          </w:tcPr>
          <w:p>
            <w:pPr>
              <w:pStyle w:val="18"/>
            </w:pPr>
            <w:r>
              <w:t>2人</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日常工作保障比率</w:t>
            </w:r>
          </w:p>
        </w:tc>
        <w:tc>
          <w:tcPr>
            <w:tcW w:w="2466" w:type="dxa"/>
            <w:vAlign w:val="center"/>
          </w:tcPr>
          <w:p>
            <w:pPr>
              <w:pStyle w:val="18"/>
            </w:pPr>
            <w:r>
              <w:t>扶贫专馆日常业务保障情况</w:t>
            </w:r>
          </w:p>
        </w:tc>
        <w:tc>
          <w:tcPr>
            <w:tcW w:w="2466" w:type="dxa"/>
            <w:vAlign w:val="center"/>
          </w:tcPr>
          <w:p>
            <w:pPr>
              <w:pStyle w:val="18"/>
            </w:pPr>
            <w:r>
              <w:t>100%</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支付时间</w:t>
            </w:r>
          </w:p>
        </w:tc>
        <w:tc>
          <w:tcPr>
            <w:tcW w:w="2466" w:type="dxa"/>
            <w:vAlign w:val="center"/>
          </w:tcPr>
          <w:p>
            <w:pPr>
              <w:pStyle w:val="18"/>
            </w:pPr>
            <w:r>
              <w:t>劳务费支付时间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人均劳务成本</w:t>
            </w:r>
          </w:p>
        </w:tc>
        <w:tc>
          <w:tcPr>
            <w:tcW w:w="2466" w:type="dxa"/>
            <w:vAlign w:val="center"/>
          </w:tcPr>
          <w:p>
            <w:pPr>
              <w:pStyle w:val="18"/>
            </w:pPr>
            <w:r>
              <w:t>人均劳务成本</w:t>
            </w:r>
          </w:p>
        </w:tc>
        <w:tc>
          <w:tcPr>
            <w:tcW w:w="2466" w:type="dxa"/>
            <w:vAlign w:val="center"/>
          </w:tcPr>
          <w:p>
            <w:pPr>
              <w:pStyle w:val="18"/>
            </w:pPr>
            <w:r>
              <w:t>≤3000元</w:t>
            </w:r>
          </w:p>
        </w:tc>
        <w:tc>
          <w:tcPr>
            <w:tcW w:w="2466" w:type="dxa"/>
            <w:vAlign w:val="center"/>
          </w:tcPr>
          <w:p>
            <w:pPr>
              <w:pStyle w:val="18"/>
            </w:pPr>
            <w: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增加贫困地区产品销售额，巩固脱贫攻坚成果</w:t>
            </w:r>
          </w:p>
        </w:tc>
        <w:tc>
          <w:tcPr>
            <w:tcW w:w="2466" w:type="dxa"/>
            <w:vAlign w:val="center"/>
          </w:tcPr>
          <w:p>
            <w:pPr>
              <w:pStyle w:val="18"/>
            </w:pPr>
            <w:r>
              <w:t>增加贫困地区产品销售额，巩固脱贫攻坚成果</w:t>
            </w:r>
          </w:p>
        </w:tc>
        <w:tc>
          <w:tcPr>
            <w:tcW w:w="2466" w:type="dxa"/>
            <w:vAlign w:val="center"/>
          </w:tcPr>
          <w:p>
            <w:pPr>
              <w:pStyle w:val="18"/>
            </w:pPr>
            <w:r>
              <w:t>明显增加</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主管科室满意度</w:t>
            </w:r>
          </w:p>
        </w:tc>
        <w:tc>
          <w:tcPr>
            <w:tcW w:w="2466" w:type="dxa"/>
            <w:vAlign w:val="center"/>
          </w:tcPr>
          <w:p>
            <w:pPr>
              <w:pStyle w:val="18"/>
            </w:pPr>
            <w:r>
              <w:t>主管科室满意度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pPr>
      <w:r>
        <w:rPr>
          <w:rFonts w:hint="eastAsia" w:ascii="Times New Roman" w:hAnsi="Times New Roman" w:eastAsia="仿宋_GB2312" w:cs="Times New Roman"/>
          <w:sz w:val="28"/>
          <w:lang w:val="en-US" w:eastAsia="zh-CN"/>
        </w:rPr>
        <w:t>9、综合业务经费绩效目标表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657"/>
        <w:gridCol w:w="81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6657"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141" w:type="dxa"/>
            <w:tcBorders>
              <w:bottom w:val="single" w:color="FFFFFF" w:sz="6" w:space="0"/>
            </w:tcBorders>
            <w:vAlign w:val="center"/>
          </w:tcPr>
          <w:p>
            <w:pPr>
              <w:pStyle w:val="18"/>
            </w:pPr>
            <w:r>
              <w:t>1.目标内容1：通过聘请法律顾问并支付费用，为我部门法律咨询服务、诉讼等问题得到及时妥善处理。</w:t>
            </w:r>
          </w:p>
          <w:p>
            <w:pPr>
              <w:pStyle w:val="18"/>
            </w:pPr>
            <w:r>
              <w:t>2.目标内容2：通过专网使用，提高工作效率，保障上级交办工作及时完成。</w:t>
            </w:r>
          </w:p>
          <w:p>
            <w:pPr>
              <w:pStyle w:val="18"/>
            </w:pPr>
            <w:r>
              <w:t>3.目标内容3：通过集中整治成品油市场，加大成品油市场整治力度，促进成品油市场健康有序发展。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36"/>
        <w:gridCol w:w="2085"/>
        <w:gridCol w:w="2520"/>
        <w:gridCol w:w="322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03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08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52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223"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restart"/>
            <w:vAlign w:val="center"/>
          </w:tcPr>
          <w:p>
            <w:pPr>
              <w:pStyle w:val="19"/>
            </w:pPr>
            <w:r>
              <w:t>产出指标</w:t>
            </w:r>
          </w:p>
        </w:tc>
        <w:tc>
          <w:tcPr>
            <w:tcW w:w="2085" w:type="dxa"/>
            <w:vAlign w:val="center"/>
          </w:tcPr>
          <w:p>
            <w:pPr>
              <w:pStyle w:val="18"/>
            </w:pPr>
            <w:r>
              <w:t>数量指标</w:t>
            </w:r>
          </w:p>
        </w:tc>
        <w:tc>
          <w:tcPr>
            <w:tcW w:w="2520" w:type="dxa"/>
            <w:vAlign w:val="center"/>
          </w:tcPr>
          <w:p>
            <w:pPr>
              <w:pStyle w:val="18"/>
            </w:pPr>
            <w:r>
              <w:t>起草合同数量</w:t>
            </w:r>
          </w:p>
        </w:tc>
        <w:tc>
          <w:tcPr>
            <w:tcW w:w="3223" w:type="dxa"/>
            <w:vAlign w:val="center"/>
          </w:tcPr>
          <w:p>
            <w:pPr>
              <w:pStyle w:val="18"/>
            </w:pPr>
            <w:r>
              <w:t>起草合同数量</w:t>
            </w:r>
          </w:p>
        </w:tc>
        <w:tc>
          <w:tcPr>
            <w:tcW w:w="2466" w:type="dxa"/>
            <w:vAlign w:val="center"/>
          </w:tcPr>
          <w:p>
            <w:pPr>
              <w:pStyle w:val="18"/>
            </w:pPr>
            <w:r>
              <w:t>≥2个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数量指标</w:t>
            </w:r>
          </w:p>
        </w:tc>
        <w:tc>
          <w:tcPr>
            <w:tcW w:w="2520" w:type="dxa"/>
            <w:vAlign w:val="center"/>
          </w:tcPr>
          <w:p>
            <w:pPr>
              <w:pStyle w:val="18"/>
            </w:pPr>
            <w:r>
              <w:t>检查企业数量</w:t>
            </w:r>
          </w:p>
        </w:tc>
        <w:tc>
          <w:tcPr>
            <w:tcW w:w="3223" w:type="dxa"/>
            <w:vAlign w:val="center"/>
          </w:tcPr>
          <w:p>
            <w:pPr>
              <w:pStyle w:val="18"/>
            </w:pPr>
            <w:r>
              <w:t>检查企业数量</w:t>
            </w:r>
          </w:p>
        </w:tc>
        <w:tc>
          <w:tcPr>
            <w:tcW w:w="2466" w:type="dxa"/>
            <w:vAlign w:val="center"/>
          </w:tcPr>
          <w:p>
            <w:pPr>
              <w:pStyle w:val="18"/>
            </w:pPr>
            <w:r>
              <w:t>≥65家</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数量指标</w:t>
            </w:r>
          </w:p>
        </w:tc>
        <w:tc>
          <w:tcPr>
            <w:tcW w:w="2520" w:type="dxa"/>
            <w:vAlign w:val="center"/>
          </w:tcPr>
          <w:p>
            <w:pPr>
              <w:pStyle w:val="18"/>
            </w:pPr>
            <w:r>
              <w:t>平台覆盖科室数</w:t>
            </w:r>
          </w:p>
        </w:tc>
        <w:tc>
          <w:tcPr>
            <w:tcW w:w="3223" w:type="dxa"/>
            <w:vAlign w:val="center"/>
          </w:tcPr>
          <w:p>
            <w:pPr>
              <w:pStyle w:val="18"/>
            </w:pPr>
            <w:r>
              <w:t>平台覆盖科室数量</w:t>
            </w:r>
          </w:p>
        </w:tc>
        <w:tc>
          <w:tcPr>
            <w:tcW w:w="2466" w:type="dxa"/>
            <w:vAlign w:val="center"/>
          </w:tcPr>
          <w:p>
            <w:pPr>
              <w:pStyle w:val="18"/>
            </w:pPr>
            <w:r>
              <w:t>≥2个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行为投诉率</w:t>
            </w:r>
          </w:p>
        </w:tc>
        <w:tc>
          <w:tcPr>
            <w:tcW w:w="3223" w:type="dxa"/>
            <w:vAlign w:val="center"/>
          </w:tcPr>
          <w:p>
            <w:pPr>
              <w:pStyle w:val="18"/>
            </w:pPr>
            <w:r>
              <w:t>全年监督检查行为被投诉次数与检查次数比率</w:t>
            </w:r>
          </w:p>
        </w:tc>
        <w:tc>
          <w:tcPr>
            <w:tcW w:w="2466" w:type="dxa"/>
            <w:vAlign w:val="center"/>
          </w:tcPr>
          <w:p>
            <w:pPr>
              <w:pStyle w:val="18"/>
            </w:pPr>
            <w:r>
              <w:t>≤5%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抽查企业合格率</w:t>
            </w:r>
          </w:p>
        </w:tc>
        <w:tc>
          <w:tcPr>
            <w:tcW w:w="3223" w:type="dxa"/>
            <w:vAlign w:val="center"/>
          </w:tcPr>
          <w:p>
            <w:pPr>
              <w:pStyle w:val="18"/>
            </w:pPr>
            <w:r>
              <w:t>抽查对象合格数量占全部企业比率</w:t>
            </w:r>
          </w:p>
        </w:tc>
        <w:tc>
          <w:tcPr>
            <w:tcW w:w="2466" w:type="dxa"/>
            <w:vAlign w:val="center"/>
          </w:tcPr>
          <w:p>
            <w:pPr>
              <w:pStyle w:val="18"/>
            </w:pPr>
            <w:r>
              <w:t>≤85%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质量指标</w:t>
            </w:r>
          </w:p>
        </w:tc>
        <w:tc>
          <w:tcPr>
            <w:tcW w:w="2520" w:type="dxa"/>
            <w:vAlign w:val="center"/>
          </w:tcPr>
          <w:p>
            <w:pPr>
              <w:pStyle w:val="18"/>
            </w:pPr>
            <w:r>
              <w:t>非正常停机率</w:t>
            </w:r>
          </w:p>
        </w:tc>
        <w:tc>
          <w:tcPr>
            <w:tcW w:w="3223" w:type="dxa"/>
            <w:vAlign w:val="center"/>
          </w:tcPr>
          <w:p>
            <w:pPr>
              <w:pStyle w:val="18"/>
            </w:pPr>
            <w:r>
              <w:t>非正常停机占比情况</w:t>
            </w:r>
          </w:p>
        </w:tc>
        <w:tc>
          <w:tcPr>
            <w:tcW w:w="2466" w:type="dxa"/>
            <w:vAlign w:val="center"/>
          </w:tcPr>
          <w:p>
            <w:pPr>
              <w:pStyle w:val="18"/>
            </w:pPr>
            <w:r>
              <w:t>≤90%</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时效指标</w:t>
            </w:r>
          </w:p>
        </w:tc>
        <w:tc>
          <w:tcPr>
            <w:tcW w:w="2520" w:type="dxa"/>
            <w:vAlign w:val="center"/>
          </w:tcPr>
          <w:p>
            <w:pPr>
              <w:pStyle w:val="18"/>
            </w:pPr>
            <w:r>
              <w:t>资金拨付时间</w:t>
            </w:r>
          </w:p>
        </w:tc>
        <w:tc>
          <w:tcPr>
            <w:tcW w:w="3223" w:type="dxa"/>
            <w:vAlign w:val="center"/>
          </w:tcPr>
          <w:p>
            <w:pPr>
              <w:pStyle w:val="18"/>
            </w:pPr>
            <w:r>
              <w:t>支付咨询费、网络使用费时间</w:t>
            </w:r>
          </w:p>
        </w:tc>
        <w:tc>
          <w:tcPr>
            <w:tcW w:w="2466" w:type="dxa"/>
            <w:vAlign w:val="center"/>
          </w:tcPr>
          <w:p>
            <w:pPr>
              <w:pStyle w:val="18"/>
            </w:pPr>
            <w:r>
              <w:t>≤12月</w:t>
            </w:r>
          </w:p>
        </w:tc>
        <w:tc>
          <w:tcPr>
            <w:tcW w:w="2466" w:type="dxa"/>
            <w:vAlign w:val="center"/>
          </w:tcPr>
          <w:p>
            <w:pPr>
              <w:pStyle w:val="18"/>
            </w:pPr>
            <w: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成本指标</w:t>
            </w:r>
          </w:p>
        </w:tc>
        <w:tc>
          <w:tcPr>
            <w:tcW w:w="2520" w:type="dxa"/>
            <w:vAlign w:val="center"/>
          </w:tcPr>
          <w:p>
            <w:pPr>
              <w:pStyle w:val="18"/>
            </w:pPr>
            <w:r>
              <w:t>网络使用成本</w:t>
            </w:r>
          </w:p>
        </w:tc>
        <w:tc>
          <w:tcPr>
            <w:tcW w:w="3223" w:type="dxa"/>
            <w:vAlign w:val="center"/>
          </w:tcPr>
          <w:p>
            <w:pPr>
              <w:pStyle w:val="18"/>
            </w:pPr>
            <w:r>
              <w:t>网络使用成本</w:t>
            </w:r>
          </w:p>
        </w:tc>
        <w:tc>
          <w:tcPr>
            <w:tcW w:w="2466" w:type="dxa"/>
            <w:vAlign w:val="center"/>
          </w:tcPr>
          <w:p>
            <w:pPr>
              <w:pStyle w:val="18"/>
            </w:pPr>
            <w:r>
              <w:t>1.2万元/年</w:t>
            </w:r>
          </w:p>
        </w:tc>
        <w:tc>
          <w:tcPr>
            <w:tcW w:w="2466" w:type="dxa"/>
            <w:vAlign w:val="center"/>
          </w:tcPr>
          <w:p>
            <w:pPr>
              <w:pStyle w:val="18"/>
            </w:pPr>
            <w:r>
              <w:t>网络使用协议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成本指标</w:t>
            </w:r>
          </w:p>
        </w:tc>
        <w:tc>
          <w:tcPr>
            <w:tcW w:w="2520" w:type="dxa"/>
            <w:vAlign w:val="center"/>
          </w:tcPr>
          <w:p>
            <w:pPr>
              <w:pStyle w:val="18"/>
            </w:pPr>
            <w:r>
              <w:t>法律顾问人均成本</w:t>
            </w:r>
          </w:p>
        </w:tc>
        <w:tc>
          <w:tcPr>
            <w:tcW w:w="3223" w:type="dxa"/>
            <w:vAlign w:val="center"/>
          </w:tcPr>
          <w:p>
            <w:pPr>
              <w:pStyle w:val="18"/>
            </w:pPr>
            <w:r>
              <w:t>法律顾问人均成本</w:t>
            </w:r>
          </w:p>
        </w:tc>
        <w:tc>
          <w:tcPr>
            <w:tcW w:w="2466" w:type="dxa"/>
            <w:vAlign w:val="center"/>
          </w:tcPr>
          <w:p>
            <w:pPr>
              <w:pStyle w:val="18"/>
            </w:pPr>
            <w:r>
              <w:t>2万元</w:t>
            </w:r>
          </w:p>
        </w:tc>
        <w:tc>
          <w:tcPr>
            <w:tcW w:w="2466" w:type="dxa"/>
            <w:vAlign w:val="center"/>
          </w:tcPr>
          <w:p>
            <w:pPr>
              <w:pStyle w:val="18"/>
            </w:pPr>
            <w: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restart"/>
            <w:vAlign w:val="center"/>
          </w:tcPr>
          <w:p>
            <w:pPr>
              <w:pStyle w:val="19"/>
            </w:pPr>
            <w:r>
              <w:t>效益指标</w:t>
            </w:r>
          </w:p>
        </w:tc>
        <w:tc>
          <w:tcPr>
            <w:tcW w:w="2085" w:type="dxa"/>
            <w:vAlign w:val="center"/>
          </w:tcPr>
          <w:p>
            <w:pPr>
              <w:pStyle w:val="18"/>
            </w:pPr>
            <w:r>
              <w:t>社会效益指标</w:t>
            </w:r>
          </w:p>
        </w:tc>
        <w:tc>
          <w:tcPr>
            <w:tcW w:w="2520" w:type="dxa"/>
            <w:vAlign w:val="center"/>
          </w:tcPr>
          <w:p>
            <w:pPr>
              <w:pStyle w:val="18"/>
            </w:pPr>
            <w:r>
              <w:t>维护成品油市场经济秩序</w:t>
            </w:r>
          </w:p>
        </w:tc>
        <w:tc>
          <w:tcPr>
            <w:tcW w:w="3223" w:type="dxa"/>
            <w:vAlign w:val="center"/>
          </w:tcPr>
          <w:p>
            <w:pPr>
              <w:pStyle w:val="18"/>
            </w:pPr>
            <w:r>
              <w:t>维护成品油市场经济秩序</w:t>
            </w:r>
          </w:p>
        </w:tc>
        <w:tc>
          <w:tcPr>
            <w:tcW w:w="2466" w:type="dxa"/>
            <w:vAlign w:val="center"/>
          </w:tcPr>
          <w:p>
            <w:pPr>
              <w:pStyle w:val="18"/>
            </w:pPr>
            <w:r>
              <w:t>有效维护</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社会效益指标</w:t>
            </w:r>
          </w:p>
        </w:tc>
        <w:tc>
          <w:tcPr>
            <w:tcW w:w="2520" w:type="dxa"/>
            <w:vAlign w:val="center"/>
          </w:tcPr>
          <w:p>
            <w:pPr>
              <w:pStyle w:val="18"/>
            </w:pPr>
            <w:r>
              <w:t>提高工作效率</w:t>
            </w:r>
          </w:p>
        </w:tc>
        <w:tc>
          <w:tcPr>
            <w:tcW w:w="3223" w:type="dxa"/>
            <w:vAlign w:val="center"/>
          </w:tcPr>
          <w:p>
            <w:pPr>
              <w:pStyle w:val="18"/>
            </w:pPr>
            <w:r>
              <w:t>节约成本，提高工作效率</w:t>
            </w:r>
          </w:p>
        </w:tc>
        <w:tc>
          <w:tcPr>
            <w:tcW w:w="2466" w:type="dxa"/>
            <w:vAlign w:val="center"/>
          </w:tcPr>
          <w:p>
            <w:pPr>
              <w:pStyle w:val="18"/>
            </w:pPr>
            <w:r>
              <w:t>有效提高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Merge w:val="continue"/>
            <w:vAlign w:val="center"/>
          </w:tcPr>
          <w:p/>
        </w:tc>
        <w:tc>
          <w:tcPr>
            <w:tcW w:w="2085" w:type="dxa"/>
            <w:vAlign w:val="center"/>
          </w:tcPr>
          <w:p>
            <w:pPr>
              <w:pStyle w:val="18"/>
            </w:pPr>
            <w:r>
              <w:t>生态效益指标</w:t>
            </w:r>
          </w:p>
        </w:tc>
        <w:tc>
          <w:tcPr>
            <w:tcW w:w="2520" w:type="dxa"/>
            <w:vAlign w:val="center"/>
          </w:tcPr>
          <w:p>
            <w:pPr>
              <w:pStyle w:val="18"/>
            </w:pPr>
            <w:r>
              <w:t>减少大气污染</w:t>
            </w:r>
          </w:p>
        </w:tc>
        <w:tc>
          <w:tcPr>
            <w:tcW w:w="3223" w:type="dxa"/>
            <w:vAlign w:val="center"/>
          </w:tcPr>
          <w:p>
            <w:pPr>
              <w:pStyle w:val="18"/>
            </w:pPr>
            <w:r>
              <w:t>减少大气污染</w:t>
            </w:r>
          </w:p>
        </w:tc>
        <w:tc>
          <w:tcPr>
            <w:tcW w:w="2466" w:type="dxa"/>
            <w:vAlign w:val="center"/>
          </w:tcPr>
          <w:p>
            <w:pPr>
              <w:pStyle w:val="18"/>
            </w:pPr>
            <w:r>
              <w:t>有效减少</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036" w:type="dxa"/>
            <w:vAlign w:val="center"/>
          </w:tcPr>
          <w:p>
            <w:pPr>
              <w:pStyle w:val="19"/>
            </w:pPr>
            <w:r>
              <w:t>满意度指标</w:t>
            </w:r>
          </w:p>
        </w:tc>
        <w:tc>
          <w:tcPr>
            <w:tcW w:w="2085" w:type="dxa"/>
            <w:vAlign w:val="center"/>
          </w:tcPr>
          <w:p>
            <w:pPr>
              <w:pStyle w:val="18"/>
            </w:pPr>
            <w:r>
              <w:t>服务对象满意度指标</w:t>
            </w:r>
          </w:p>
        </w:tc>
        <w:tc>
          <w:tcPr>
            <w:tcW w:w="2520" w:type="dxa"/>
            <w:vAlign w:val="center"/>
          </w:tcPr>
          <w:p>
            <w:pPr>
              <w:pStyle w:val="18"/>
            </w:pPr>
            <w:r>
              <w:t>服务对象满意度</w:t>
            </w:r>
          </w:p>
        </w:tc>
        <w:tc>
          <w:tcPr>
            <w:tcW w:w="3223" w:type="dxa"/>
            <w:vAlign w:val="center"/>
          </w:tcPr>
          <w:p>
            <w:pPr>
              <w:pStyle w:val="18"/>
            </w:pPr>
            <w:r>
              <w:t>服务对象满意度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10、2021年第一批省级外贸发展专项资金（外贸奖励）绩效目标表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1.通过奖励资金的发放，支持我市外贸企业发展</w:t>
            </w:r>
          </w:p>
          <w:p>
            <w:pPr>
              <w:pStyle w:val="18"/>
            </w:pPr>
            <w:r>
              <w:t>2.通过资金的发放，提升我市外贸企业国际化的经营能力</w:t>
            </w:r>
          </w:p>
          <w:p>
            <w:pPr>
              <w:pStyle w:val="18"/>
            </w:pPr>
            <w:r>
              <w:t>3.通过奖励资金的发放，提高我市进出口企业外贸进出口水平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支持企业数量</w:t>
            </w:r>
          </w:p>
        </w:tc>
        <w:tc>
          <w:tcPr>
            <w:tcW w:w="2466" w:type="dxa"/>
            <w:vAlign w:val="center"/>
          </w:tcPr>
          <w:p>
            <w:pPr>
              <w:pStyle w:val="18"/>
            </w:pPr>
            <w:r>
              <w:t>支持企业数量</w:t>
            </w:r>
          </w:p>
        </w:tc>
        <w:tc>
          <w:tcPr>
            <w:tcW w:w="2466" w:type="dxa"/>
            <w:vAlign w:val="center"/>
          </w:tcPr>
          <w:p>
            <w:pPr>
              <w:pStyle w:val="18"/>
            </w:pPr>
            <w:r>
              <w:t>≥10家</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进出口总额</w:t>
            </w:r>
          </w:p>
        </w:tc>
        <w:tc>
          <w:tcPr>
            <w:tcW w:w="2466" w:type="dxa"/>
            <w:vAlign w:val="center"/>
          </w:tcPr>
          <w:p>
            <w:pPr>
              <w:pStyle w:val="18"/>
            </w:pPr>
            <w:r>
              <w:t>连续两年进出口总额超过2000万元的企业数量</w:t>
            </w:r>
          </w:p>
        </w:tc>
        <w:tc>
          <w:tcPr>
            <w:tcW w:w="2466" w:type="dxa"/>
            <w:vAlign w:val="center"/>
          </w:tcPr>
          <w:p>
            <w:pPr>
              <w:pStyle w:val="18"/>
            </w:pPr>
            <w:r>
              <w:t>≥10家</w:t>
            </w:r>
          </w:p>
        </w:tc>
        <w:tc>
          <w:tcPr>
            <w:tcW w:w="2466" w:type="dxa"/>
            <w:vAlign w:val="center"/>
          </w:tcPr>
          <w:p>
            <w:pPr>
              <w:pStyle w:val="18"/>
            </w:pPr>
            <w:r>
              <w:t>海关进出口数据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≤12月</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奖励金额</w:t>
            </w:r>
          </w:p>
        </w:tc>
        <w:tc>
          <w:tcPr>
            <w:tcW w:w="2466" w:type="dxa"/>
            <w:vAlign w:val="center"/>
          </w:tcPr>
          <w:p>
            <w:pPr>
              <w:pStyle w:val="18"/>
            </w:pPr>
            <w:r>
              <w:t>奖励金额</w:t>
            </w:r>
          </w:p>
        </w:tc>
        <w:tc>
          <w:tcPr>
            <w:tcW w:w="2466" w:type="dxa"/>
            <w:vAlign w:val="center"/>
          </w:tcPr>
          <w:p>
            <w:pPr>
              <w:pStyle w:val="18"/>
            </w:pPr>
            <w:r>
              <w:t>≤600万元</w:t>
            </w:r>
          </w:p>
        </w:tc>
        <w:tc>
          <w:tcPr>
            <w:tcW w:w="2466" w:type="dxa"/>
            <w:vAlign w:val="center"/>
          </w:tcPr>
          <w:p>
            <w:pPr>
              <w:pStyle w:val="18"/>
            </w:pPr>
            <w:r>
              <w:t>关于表彰奖励2020外贸进出口工作先进单位的通报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进出口增长率</w:t>
            </w:r>
          </w:p>
        </w:tc>
        <w:tc>
          <w:tcPr>
            <w:tcW w:w="2466" w:type="dxa"/>
            <w:vAlign w:val="center"/>
          </w:tcPr>
          <w:p>
            <w:pPr>
              <w:pStyle w:val="18"/>
            </w:pPr>
            <w:r>
              <w:t>进出口增长率</w:t>
            </w:r>
          </w:p>
        </w:tc>
        <w:tc>
          <w:tcPr>
            <w:tcW w:w="2466" w:type="dxa"/>
            <w:vAlign w:val="center"/>
          </w:tcPr>
          <w:p>
            <w:pPr>
              <w:pStyle w:val="18"/>
            </w:pPr>
            <w:r>
              <w:t>≥5%</w:t>
            </w:r>
          </w:p>
        </w:tc>
        <w:tc>
          <w:tcPr>
            <w:tcW w:w="2466" w:type="dxa"/>
            <w:vAlign w:val="center"/>
          </w:tcPr>
          <w:p>
            <w:pPr>
              <w:pStyle w:val="18"/>
            </w:pPr>
            <w:r>
              <w:t>海关进出口数据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促进我市进出口企业增加</w:t>
            </w:r>
          </w:p>
        </w:tc>
        <w:tc>
          <w:tcPr>
            <w:tcW w:w="2466" w:type="dxa"/>
            <w:vAlign w:val="center"/>
          </w:tcPr>
          <w:p>
            <w:pPr>
              <w:pStyle w:val="18"/>
            </w:pPr>
            <w:r>
              <w:t>促进我市进出口企业增加</w:t>
            </w:r>
          </w:p>
        </w:tc>
        <w:tc>
          <w:tcPr>
            <w:tcW w:w="2466" w:type="dxa"/>
            <w:vAlign w:val="center"/>
          </w:tcPr>
          <w:p>
            <w:pPr>
              <w:pStyle w:val="18"/>
            </w:pPr>
            <w:r>
              <w:t>有效促进</w:t>
            </w:r>
          </w:p>
        </w:tc>
        <w:tc>
          <w:tcPr>
            <w:tcW w:w="2466" w:type="dxa"/>
            <w:vAlign w:val="center"/>
          </w:tcPr>
          <w:p>
            <w:pPr>
              <w:pStyle w:val="18"/>
            </w:pPr>
            <w:r>
              <w:t>商务部统一业务平台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企业满意度(%)</w:t>
            </w:r>
          </w:p>
        </w:tc>
        <w:tc>
          <w:tcPr>
            <w:tcW w:w="2466" w:type="dxa"/>
            <w:vAlign w:val="center"/>
          </w:tcPr>
          <w:p>
            <w:pPr>
              <w:pStyle w:val="18"/>
            </w:pPr>
            <w:r>
              <w:t>企业满意度(%)</w:t>
            </w:r>
          </w:p>
        </w:tc>
        <w:tc>
          <w:tcPr>
            <w:tcW w:w="2466" w:type="dxa"/>
            <w:vAlign w:val="center"/>
          </w:tcPr>
          <w:p>
            <w:pPr>
              <w:pStyle w:val="18"/>
            </w:pPr>
            <w:r>
              <w:t>≥90%</w:t>
            </w:r>
          </w:p>
        </w:tc>
        <w:tc>
          <w:tcPr>
            <w:tcW w:w="2466" w:type="dxa"/>
            <w:vAlign w:val="center"/>
          </w:tcPr>
          <w:p>
            <w:pPr>
              <w:pStyle w:val="18"/>
            </w:pPr>
            <w:r>
              <w:t>问卷调查</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11、三河市出口信用保险补贴资金绩效目标表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1.目标内容1：通过对符合条件的企业发放补贴资金，切实落实对企业帮扶措施，实现对外经济合作业务稳定增长。</w:t>
            </w:r>
          </w:p>
          <w:p>
            <w:pPr>
              <w:pStyle w:val="18"/>
            </w:pPr>
            <w:r>
              <w:t>2.目标内容2：通过补贴资金的发放，保障优化外贸商品结构、市场结构、主体结构、贸易方式结构，促进对外贸易额稳定增长。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补助企业数量（家）</w:t>
            </w:r>
          </w:p>
        </w:tc>
        <w:tc>
          <w:tcPr>
            <w:tcW w:w="2466" w:type="dxa"/>
            <w:vAlign w:val="center"/>
          </w:tcPr>
          <w:p>
            <w:pPr>
              <w:pStyle w:val="18"/>
            </w:pPr>
            <w:r>
              <w:t>符合政策给予补贴企业个数</w:t>
            </w:r>
          </w:p>
        </w:tc>
        <w:tc>
          <w:tcPr>
            <w:tcW w:w="2466" w:type="dxa"/>
            <w:vAlign w:val="center"/>
          </w:tcPr>
          <w:p>
            <w:pPr>
              <w:pStyle w:val="18"/>
            </w:pPr>
            <w:r>
              <w:t>≥5家</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补贴覆盖率</w:t>
            </w:r>
          </w:p>
        </w:tc>
        <w:tc>
          <w:tcPr>
            <w:tcW w:w="2466" w:type="dxa"/>
            <w:vAlign w:val="center"/>
          </w:tcPr>
          <w:p>
            <w:pPr>
              <w:pStyle w:val="18"/>
            </w:pPr>
            <w:r>
              <w:t>已补企业占申报企业比率</w:t>
            </w:r>
          </w:p>
        </w:tc>
        <w:tc>
          <w:tcPr>
            <w:tcW w:w="2466" w:type="dxa"/>
            <w:vAlign w:val="center"/>
          </w:tcPr>
          <w:p>
            <w:pPr>
              <w:pStyle w:val="18"/>
            </w:pPr>
            <w:r>
              <w:t>≥90%</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≤12月</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出口信用保险补贴平均成本</w:t>
            </w:r>
          </w:p>
        </w:tc>
        <w:tc>
          <w:tcPr>
            <w:tcW w:w="2466" w:type="dxa"/>
            <w:vAlign w:val="center"/>
          </w:tcPr>
          <w:p>
            <w:pPr>
              <w:pStyle w:val="18"/>
            </w:pPr>
            <w:r>
              <w:t>出口信用保险补贴平均成本</w:t>
            </w:r>
          </w:p>
        </w:tc>
        <w:tc>
          <w:tcPr>
            <w:tcW w:w="2466" w:type="dxa"/>
            <w:vAlign w:val="center"/>
          </w:tcPr>
          <w:p>
            <w:pPr>
              <w:pStyle w:val="18"/>
            </w:pPr>
            <w:r>
              <w:t>≤16万元</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出口创汇</w:t>
            </w:r>
          </w:p>
        </w:tc>
        <w:tc>
          <w:tcPr>
            <w:tcW w:w="2466" w:type="dxa"/>
            <w:vAlign w:val="center"/>
          </w:tcPr>
          <w:p>
            <w:pPr>
              <w:pStyle w:val="18"/>
            </w:pPr>
            <w:r>
              <w:t>三河市企业出口额</w:t>
            </w:r>
          </w:p>
        </w:tc>
        <w:tc>
          <w:tcPr>
            <w:tcW w:w="2466" w:type="dxa"/>
            <w:vAlign w:val="center"/>
          </w:tcPr>
          <w:p>
            <w:pPr>
              <w:pStyle w:val="18"/>
            </w:pPr>
            <w:r>
              <w:t>≥5000万美元</w:t>
            </w:r>
          </w:p>
        </w:tc>
        <w:tc>
          <w:tcPr>
            <w:tcW w:w="2466" w:type="dxa"/>
            <w:vAlign w:val="center"/>
          </w:tcPr>
          <w:p>
            <w:pPr>
              <w:pStyle w:val="18"/>
            </w:pPr>
            <w:r>
              <w:t>海关统计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出口企业持续出口</w:t>
            </w:r>
          </w:p>
        </w:tc>
        <w:tc>
          <w:tcPr>
            <w:tcW w:w="2466" w:type="dxa"/>
            <w:vAlign w:val="center"/>
          </w:tcPr>
          <w:p>
            <w:pPr>
              <w:pStyle w:val="18"/>
            </w:pPr>
            <w:r>
              <w:t>每年的出口企业数量</w:t>
            </w:r>
          </w:p>
        </w:tc>
        <w:tc>
          <w:tcPr>
            <w:tcW w:w="2466" w:type="dxa"/>
            <w:vAlign w:val="center"/>
          </w:tcPr>
          <w:p>
            <w:pPr>
              <w:pStyle w:val="18"/>
            </w:pPr>
            <w:r>
              <w:t>≥50个</w:t>
            </w:r>
          </w:p>
        </w:tc>
        <w:tc>
          <w:tcPr>
            <w:tcW w:w="2466" w:type="dxa"/>
            <w:vAlign w:val="center"/>
          </w:tcPr>
          <w:p>
            <w:pPr>
              <w:pStyle w:val="18"/>
            </w:pPr>
            <w:r>
              <w:t>海关统计数字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带动新的出口企业</w:t>
            </w:r>
          </w:p>
        </w:tc>
        <w:tc>
          <w:tcPr>
            <w:tcW w:w="2466" w:type="dxa"/>
            <w:vAlign w:val="center"/>
          </w:tcPr>
          <w:p>
            <w:pPr>
              <w:pStyle w:val="18"/>
            </w:pPr>
            <w:r>
              <w:t>新增备案出口企业数量</w:t>
            </w:r>
          </w:p>
        </w:tc>
        <w:tc>
          <w:tcPr>
            <w:tcW w:w="2466" w:type="dxa"/>
            <w:vAlign w:val="center"/>
          </w:tcPr>
          <w:p>
            <w:pPr>
              <w:pStyle w:val="18"/>
            </w:pPr>
            <w:r>
              <w:t>≥5个</w:t>
            </w:r>
          </w:p>
        </w:tc>
        <w:tc>
          <w:tcPr>
            <w:tcW w:w="2466" w:type="dxa"/>
            <w:vAlign w:val="center"/>
          </w:tcPr>
          <w:p>
            <w:pPr>
              <w:pStyle w:val="18"/>
            </w:pPr>
            <w:r>
              <w:t>商务部统一业务平台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受益对象满意度</w:t>
            </w:r>
          </w:p>
        </w:tc>
        <w:tc>
          <w:tcPr>
            <w:tcW w:w="2466" w:type="dxa"/>
            <w:vAlign w:val="center"/>
          </w:tcPr>
          <w:p>
            <w:pPr>
              <w:pStyle w:val="18"/>
            </w:pPr>
            <w:r>
              <w:t>受益对象满意度</w:t>
            </w:r>
          </w:p>
        </w:tc>
        <w:tc>
          <w:tcPr>
            <w:tcW w:w="2466" w:type="dxa"/>
            <w:vAlign w:val="center"/>
          </w:tcPr>
          <w:p>
            <w:pPr>
              <w:pStyle w:val="18"/>
            </w:pPr>
            <w:r>
              <w:t>≥95%</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12、外贸出口奖励专项资金绩效目标表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7399" w:type="dxa"/>
            <w:tcBorders>
              <w:bottom w:val="single" w:color="FFFFFF" w:sz="6" w:space="0"/>
            </w:tcBorders>
            <w:vAlign w:val="center"/>
          </w:tcPr>
          <w:p>
            <w:pPr>
              <w:pStyle w:val="18"/>
            </w:pPr>
            <w:r>
              <w:t>1.目标内容1：通过奖励资金的发放，实现对外经济合作业务稳定增长。</w:t>
            </w:r>
          </w:p>
          <w:p>
            <w:pPr>
              <w:pStyle w:val="18"/>
            </w:pPr>
            <w:r>
              <w:t>2.目标内容2：通过奖励资金的发放，保障优化外贸商品结构、市场结构、主体结构、贸易方式结构，促进对外贸易额稳定增长。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补助企业数量（家）</w:t>
            </w:r>
          </w:p>
        </w:tc>
        <w:tc>
          <w:tcPr>
            <w:tcW w:w="2466" w:type="dxa"/>
            <w:vAlign w:val="center"/>
          </w:tcPr>
          <w:p>
            <w:pPr>
              <w:pStyle w:val="18"/>
            </w:pPr>
            <w:r>
              <w:t>补助企业数量（家）</w:t>
            </w:r>
          </w:p>
        </w:tc>
        <w:tc>
          <w:tcPr>
            <w:tcW w:w="2466" w:type="dxa"/>
            <w:vAlign w:val="center"/>
          </w:tcPr>
          <w:p>
            <w:pPr>
              <w:pStyle w:val="18"/>
            </w:pPr>
            <w:r>
              <w:t>≥10家</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出口奖励资金发放率</w:t>
            </w:r>
          </w:p>
        </w:tc>
        <w:tc>
          <w:tcPr>
            <w:tcW w:w="2466" w:type="dxa"/>
            <w:vAlign w:val="center"/>
          </w:tcPr>
          <w:p>
            <w:pPr>
              <w:pStyle w:val="18"/>
            </w:pPr>
            <w:r>
              <w:t>出口奖励资金发放率</w:t>
            </w:r>
          </w:p>
        </w:tc>
        <w:tc>
          <w:tcPr>
            <w:tcW w:w="2466" w:type="dxa"/>
            <w:vAlign w:val="center"/>
          </w:tcPr>
          <w:p>
            <w:pPr>
              <w:pStyle w:val="18"/>
            </w:pPr>
            <w:r>
              <w:t>100%</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发放奖励资金时间</w:t>
            </w:r>
          </w:p>
        </w:tc>
        <w:tc>
          <w:tcPr>
            <w:tcW w:w="2466" w:type="dxa"/>
            <w:vAlign w:val="center"/>
          </w:tcPr>
          <w:p>
            <w:pPr>
              <w:pStyle w:val="18"/>
            </w:pPr>
            <w:r>
              <w:t>发放奖励资金时间</w:t>
            </w:r>
          </w:p>
        </w:tc>
        <w:tc>
          <w:tcPr>
            <w:tcW w:w="2466" w:type="dxa"/>
            <w:vAlign w:val="center"/>
          </w:tcPr>
          <w:p>
            <w:pPr>
              <w:pStyle w:val="18"/>
            </w:pPr>
            <w:r>
              <w:t>≤6月</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发放奖补资金平均成本</w:t>
            </w:r>
          </w:p>
        </w:tc>
        <w:tc>
          <w:tcPr>
            <w:tcW w:w="2466" w:type="dxa"/>
            <w:vAlign w:val="center"/>
          </w:tcPr>
          <w:p>
            <w:pPr>
              <w:pStyle w:val="18"/>
            </w:pPr>
            <w:r>
              <w:t>发放奖补资金平均成本</w:t>
            </w:r>
          </w:p>
        </w:tc>
        <w:tc>
          <w:tcPr>
            <w:tcW w:w="2466" w:type="dxa"/>
            <w:vAlign w:val="center"/>
          </w:tcPr>
          <w:p>
            <w:pPr>
              <w:pStyle w:val="18"/>
            </w:pPr>
            <w:r>
              <w:t>≤20万元</w:t>
            </w:r>
          </w:p>
        </w:tc>
        <w:tc>
          <w:tcPr>
            <w:tcW w:w="2466" w:type="dxa"/>
            <w:vAlign w:val="center"/>
          </w:tcPr>
          <w:p>
            <w:pPr>
              <w:pStyle w:val="18"/>
            </w:pPr>
            <w:r>
              <w:t>《三河市稳外贸外资八条措施》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经济效益指标</w:t>
            </w:r>
          </w:p>
        </w:tc>
        <w:tc>
          <w:tcPr>
            <w:tcW w:w="2466" w:type="dxa"/>
            <w:vAlign w:val="center"/>
          </w:tcPr>
          <w:p>
            <w:pPr>
              <w:pStyle w:val="18"/>
            </w:pPr>
            <w:r>
              <w:t>获奖企业出口额增长率</w:t>
            </w:r>
          </w:p>
        </w:tc>
        <w:tc>
          <w:tcPr>
            <w:tcW w:w="2466" w:type="dxa"/>
            <w:vAlign w:val="center"/>
          </w:tcPr>
          <w:p>
            <w:pPr>
              <w:pStyle w:val="18"/>
            </w:pPr>
            <w:r>
              <w:t>获奖企业出口额增长率</w:t>
            </w:r>
          </w:p>
        </w:tc>
        <w:tc>
          <w:tcPr>
            <w:tcW w:w="2466" w:type="dxa"/>
            <w:vAlign w:val="center"/>
          </w:tcPr>
          <w:p>
            <w:pPr>
              <w:pStyle w:val="18"/>
            </w:pPr>
            <w:r>
              <w:t>≥3%</w:t>
            </w:r>
          </w:p>
        </w:tc>
        <w:tc>
          <w:tcPr>
            <w:tcW w:w="2466" w:type="dxa"/>
            <w:vAlign w:val="center"/>
          </w:tcPr>
          <w:p>
            <w:pPr>
              <w:pStyle w:val="18"/>
            </w:pPr>
            <w: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社会效益指标</w:t>
            </w:r>
          </w:p>
        </w:tc>
        <w:tc>
          <w:tcPr>
            <w:tcW w:w="2466" w:type="dxa"/>
            <w:vAlign w:val="center"/>
          </w:tcPr>
          <w:p>
            <w:pPr>
              <w:pStyle w:val="18"/>
            </w:pPr>
            <w:r>
              <w:t>促进出口企业产业结构调整</w:t>
            </w:r>
          </w:p>
        </w:tc>
        <w:tc>
          <w:tcPr>
            <w:tcW w:w="2466" w:type="dxa"/>
            <w:vAlign w:val="center"/>
          </w:tcPr>
          <w:p>
            <w:pPr>
              <w:pStyle w:val="18"/>
            </w:pPr>
            <w:r>
              <w:t>促进出口企业产业结构调整</w:t>
            </w:r>
          </w:p>
        </w:tc>
        <w:tc>
          <w:tcPr>
            <w:tcW w:w="2466" w:type="dxa"/>
            <w:vAlign w:val="center"/>
          </w:tcPr>
          <w:p>
            <w:pPr>
              <w:pStyle w:val="18"/>
            </w:pPr>
            <w:r>
              <w:t>有效促进</w:t>
            </w:r>
          </w:p>
        </w:tc>
        <w:tc>
          <w:tcPr>
            <w:tcW w:w="2466" w:type="dxa"/>
            <w:vAlign w:val="center"/>
          </w:tcPr>
          <w:p>
            <w:pPr>
              <w:pStyle w:val="18"/>
            </w:pPr>
            <w: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补贴企业满意度(%)</w:t>
            </w:r>
          </w:p>
        </w:tc>
        <w:tc>
          <w:tcPr>
            <w:tcW w:w="2466" w:type="dxa"/>
            <w:vAlign w:val="center"/>
          </w:tcPr>
          <w:p>
            <w:pPr>
              <w:pStyle w:val="18"/>
            </w:pPr>
            <w:r>
              <w:t>补贴企业满意度(%)</w:t>
            </w:r>
          </w:p>
        </w:tc>
        <w:tc>
          <w:tcPr>
            <w:tcW w:w="2466" w:type="dxa"/>
            <w:vAlign w:val="center"/>
          </w:tcPr>
          <w:p>
            <w:pPr>
              <w:pStyle w:val="18"/>
            </w:pPr>
            <w:r>
              <w:t>≥90%</w:t>
            </w:r>
          </w:p>
        </w:tc>
        <w:tc>
          <w:tcPr>
            <w:tcW w:w="2466" w:type="dxa"/>
            <w:vAlign w:val="center"/>
          </w:tcPr>
          <w:p>
            <w:pPr>
              <w:pStyle w:val="18"/>
            </w:pPr>
            <w:r>
              <w:t>问卷调查</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13、县域商业体系建设专项资金绩效目标表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192"/>
        <w:gridCol w:w="86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619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606" w:type="dxa"/>
            <w:tcBorders>
              <w:bottom w:val="single" w:color="FFFFFF" w:sz="6" w:space="0"/>
            </w:tcBorders>
            <w:vAlign w:val="center"/>
          </w:tcPr>
          <w:p>
            <w:pPr>
              <w:pStyle w:val="18"/>
            </w:pPr>
            <w:r>
              <w:t>1.目标内容1：建设改造县级物流配送中心，与现有商贸配送、公共仓储、邮政寄递等设施重组整合，提升服务水平和运营效益。</w:t>
            </w:r>
          </w:p>
          <w:p>
            <w:pPr>
              <w:pStyle w:val="18"/>
            </w:pPr>
            <w:r>
              <w:t>2.目标内容2：新建改造乡镇商贸中心，发挥乡镇承上启下、紧靠农村居民生活圈、服务农村常住人口的区域商业中心优势，使乡镇基本能够满足周边居民一般性消费需求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1"/>
        <w:gridCol w:w="1680"/>
        <w:gridCol w:w="3165"/>
        <w:gridCol w:w="365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36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168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316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365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restart"/>
            <w:vAlign w:val="center"/>
          </w:tcPr>
          <w:p>
            <w:pPr>
              <w:pStyle w:val="19"/>
            </w:pPr>
            <w:r>
              <w:t>产出指标</w:t>
            </w:r>
          </w:p>
        </w:tc>
        <w:tc>
          <w:tcPr>
            <w:tcW w:w="1680" w:type="dxa"/>
            <w:vAlign w:val="center"/>
          </w:tcPr>
          <w:p>
            <w:pPr>
              <w:pStyle w:val="18"/>
            </w:pPr>
            <w:r>
              <w:t>数量指标</w:t>
            </w:r>
          </w:p>
        </w:tc>
        <w:tc>
          <w:tcPr>
            <w:tcW w:w="3165" w:type="dxa"/>
            <w:vAlign w:val="center"/>
          </w:tcPr>
          <w:p>
            <w:pPr>
              <w:pStyle w:val="18"/>
            </w:pPr>
            <w:r>
              <w:t>新建改造乡镇商贸中心数量</w:t>
            </w:r>
          </w:p>
        </w:tc>
        <w:tc>
          <w:tcPr>
            <w:tcW w:w="3658" w:type="dxa"/>
            <w:vAlign w:val="center"/>
          </w:tcPr>
          <w:p>
            <w:pPr>
              <w:pStyle w:val="18"/>
            </w:pPr>
            <w:r>
              <w:t>新建改造乡镇商贸中心数量</w:t>
            </w:r>
          </w:p>
        </w:tc>
        <w:tc>
          <w:tcPr>
            <w:tcW w:w="2466" w:type="dxa"/>
            <w:vAlign w:val="center"/>
          </w:tcPr>
          <w:p>
            <w:pPr>
              <w:pStyle w:val="18"/>
            </w:pPr>
            <w:r>
              <w:t>≤10个</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数量指标</w:t>
            </w:r>
          </w:p>
        </w:tc>
        <w:tc>
          <w:tcPr>
            <w:tcW w:w="3165" w:type="dxa"/>
            <w:vAlign w:val="center"/>
          </w:tcPr>
          <w:p>
            <w:pPr>
              <w:pStyle w:val="18"/>
            </w:pPr>
            <w:r>
              <w:t>建设改造县级物流配送中心数量</w:t>
            </w:r>
          </w:p>
        </w:tc>
        <w:tc>
          <w:tcPr>
            <w:tcW w:w="3658" w:type="dxa"/>
            <w:vAlign w:val="center"/>
          </w:tcPr>
          <w:p>
            <w:pPr>
              <w:pStyle w:val="18"/>
            </w:pPr>
            <w:r>
              <w:t>建设改造县级物流配送中心数量</w:t>
            </w:r>
          </w:p>
        </w:tc>
        <w:tc>
          <w:tcPr>
            <w:tcW w:w="2466" w:type="dxa"/>
            <w:vAlign w:val="center"/>
          </w:tcPr>
          <w:p>
            <w:pPr>
              <w:pStyle w:val="18"/>
            </w:pPr>
            <w:r>
              <w:t>1个</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质量指标</w:t>
            </w:r>
          </w:p>
        </w:tc>
        <w:tc>
          <w:tcPr>
            <w:tcW w:w="3165" w:type="dxa"/>
            <w:vAlign w:val="center"/>
          </w:tcPr>
          <w:p>
            <w:pPr>
              <w:pStyle w:val="18"/>
            </w:pPr>
            <w:r>
              <w:t>乡镇商贸中心覆盖率提高百分点</w:t>
            </w:r>
          </w:p>
        </w:tc>
        <w:tc>
          <w:tcPr>
            <w:tcW w:w="3658" w:type="dxa"/>
            <w:vAlign w:val="center"/>
          </w:tcPr>
          <w:p>
            <w:pPr>
              <w:pStyle w:val="18"/>
            </w:pPr>
            <w:r>
              <w:t>乡镇商贸中心覆盖率提高百分点</w:t>
            </w:r>
          </w:p>
        </w:tc>
        <w:tc>
          <w:tcPr>
            <w:tcW w:w="2466" w:type="dxa"/>
            <w:vAlign w:val="center"/>
          </w:tcPr>
          <w:p>
            <w:pPr>
              <w:pStyle w:val="18"/>
            </w:pPr>
            <w:r>
              <w:t>≥2%</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时效指标</w:t>
            </w:r>
          </w:p>
        </w:tc>
        <w:tc>
          <w:tcPr>
            <w:tcW w:w="3165" w:type="dxa"/>
            <w:vAlign w:val="center"/>
          </w:tcPr>
          <w:p>
            <w:pPr>
              <w:pStyle w:val="18"/>
            </w:pPr>
            <w:r>
              <w:t>项目完成时间</w:t>
            </w:r>
          </w:p>
        </w:tc>
        <w:tc>
          <w:tcPr>
            <w:tcW w:w="3658" w:type="dxa"/>
            <w:vAlign w:val="center"/>
          </w:tcPr>
          <w:p>
            <w:pPr>
              <w:pStyle w:val="18"/>
            </w:pPr>
            <w:r>
              <w:t>项目完成时间</w:t>
            </w:r>
          </w:p>
        </w:tc>
        <w:tc>
          <w:tcPr>
            <w:tcW w:w="2466" w:type="dxa"/>
            <w:vAlign w:val="center"/>
          </w:tcPr>
          <w:p>
            <w:pPr>
              <w:pStyle w:val="18"/>
            </w:pPr>
            <w:r>
              <w:t>≤12月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成本指标</w:t>
            </w:r>
          </w:p>
        </w:tc>
        <w:tc>
          <w:tcPr>
            <w:tcW w:w="3165" w:type="dxa"/>
            <w:vAlign w:val="center"/>
          </w:tcPr>
          <w:p>
            <w:pPr>
              <w:pStyle w:val="18"/>
            </w:pPr>
            <w:r>
              <w:t>乡镇商贸中心改造单位成本</w:t>
            </w:r>
          </w:p>
        </w:tc>
        <w:tc>
          <w:tcPr>
            <w:tcW w:w="3658" w:type="dxa"/>
            <w:vAlign w:val="center"/>
          </w:tcPr>
          <w:p>
            <w:pPr>
              <w:pStyle w:val="18"/>
            </w:pPr>
            <w:r>
              <w:t>乡镇商贸中心改造单位成本</w:t>
            </w:r>
          </w:p>
        </w:tc>
        <w:tc>
          <w:tcPr>
            <w:tcW w:w="2466" w:type="dxa"/>
            <w:vAlign w:val="center"/>
          </w:tcPr>
          <w:p>
            <w:pPr>
              <w:pStyle w:val="18"/>
            </w:pPr>
            <w:r>
              <w:t>≤80万元</w:t>
            </w:r>
          </w:p>
        </w:tc>
        <w:tc>
          <w:tcPr>
            <w:tcW w:w="2466" w:type="dxa"/>
            <w:vAlign w:val="center"/>
          </w:tcPr>
          <w:p>
            <w:pPr>
              <w:pStyle w:val="18"/>
            </w:pPr>
            <w:r>
              <w:t>《河北省县域商业建设行动工作方案(2022-2025)》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restart"/>
            <w:vAlign w:val="center"/>
          </w:tcPr>
          <w:p>
            <w:pPr>
              <w:pStyle w:val="19"/>
            </w:pPr>
            <w:r>
              <w:t>效益指标</w:t>
            </w:r>
          </w:p>
        </w:tc>
        <w:tc>
          <w:tcPr>
            <w:tcW w:w="1680" w:type="dxa"/>
            <w:vAlign w:val="center"/>
          </w:tcPr>
          <w:p>
            <w:pPr>
              <w:pStyle w:val="18"/>
            </w:pPr>
            <w:r>
              <w:t>经济效益指标</w:t>
            </w:r>
          </w:p>
        </w:tc>
        <w:tc>
          <w:tcPr>
            <w:tcW w:w="3165" w:type="dxa"/>
            <w:vAlign w:val="center"/>
          </w:tcPr>
          <w:p>
            <w:pPr>
              <w:pStyle w:val="18"/>
            </w:pPr>
            <w:r>
              <w:t>城乡消费品零售额增速对比</w:t>
            </w:r>
          </w:p>
        </w:tc>
        <w:tc>
          <w:tcPr>
            <w:tcW w:w="3658" w:type="dxa"/>
            <w:vAlign w:val="center"/>
          </w:tcPr>
          <w:p>
            <w:pPr>
              <w:pStyle w:val="18"/>
            </w:pPr>
            <w:r>
              <w:t>城乡消费品零售额增速对比</w:t>
            </w:r>
          </w:p>
        </w:tc>
        <w:tc>
          <w:tcPr>
            <w:tcW w:w="2466" w:type="dxa"/>
            <w:vAlign w:val="center"/>
          </w:tcPr>
          <w:p>
            <w:pPr>
              <w:pStyle w:val="18"/>
            </w:pPr>
            <w:r>
              <w:t>≥6.5%</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Merge w:val="continue"/>
            <w:vAlign w:val="center"/>
          </w:tcPr>
          <w:p/>
        </w:tc>
        <w:tc>
          <w:tcPr>
            <w:tcW w:w="1680" w:type="dxa"/>
            <w:vAlign w:val="center"/>
          </w:tcPr>
          <w:p>
            <w:pPr>
              <w:pStyle w:val="18"/>
            </w:pPr>
            <w:r>
              <w:t>社会效益指标</w:t>
            </w:r>
          </w:p>
        </w:tc>
        <w:tc>
          <w:tcPr>
            <w:tcW w:w="3165" w:type="dxa"/>
            <w:vAlign w:val="center"/>
          </w:tcPr>
          <w:p>
            <w:pPr>
              <w:pStyle w:val="18"/>
            </w:pPr>
            <w:r>
              <w:t>提高生活服务供给质量和便捷性，促进流通，扩大消费的功能</w:t>
            </w:r>
          </w:p>
        </w:tc>
        <w:tc>
          <w:tcPr>
            <w:tcW w:w="3658" w:type="dxa"/>
            <w:vAlign w:val="center"/>
          </w:tcPr>
          <w:p>
            <w:pPr>
              <w:pStyle w:val="18"/>
            </w:pPr>
            <w:r>
              <w:t>提高生活服务供给质量和便捷性，促进流通，扩大消费的功能</w:t>
            </w:r>
          </w:p>
        </w:tc>
        <w:tc>
          <w:tcPr>
            <w:tcW w:w="2466" w:type="dxa"/>
            <w:vAlign w:val="center"/>
          </w:tcPr>
          <w:p>
            <w:pPr>
              <w:pStyle w:val="18"/>
            </w:pPr>
            <w:r>
              <w:t>明显提高</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361" w:type="dxa"/>
            <w:vAlign w:val="center"/>
          </w:tcPr>
          <w:p>
            <w:pPr>
              <w:pStyle w:val="19"/>
            </w:pPr>
            <w:r>
              <w:t>满意度指标</w:t>
            </w:r>
          </w:p>
        </w:tc>
        <w:tc>
          <w:tcPr>
            <w:tcW w:w="1680" w:type="dxa"/>
            <w:vAlign w:val="center"/>
          </w:tcPr>
          <w:p>
            <w:pPr>
              <w:pStyle w:val="18"/>
            </w:pPr>
            <w:r>
              <w:t>服务对象满意度指标</w:t>
            </w:r>
          </w:p>
        </w:tc>
        <w:tc>
          <w:tcPr>
            <w:tcW w:w="3165" w:type="dxa"/>
            <w:vAlign w:val="center"/>
          </w:tcPr>
          <w:p>
            <w:pPr>
              <w:pStyle w:val="18"/>
            </w:pPr>
            <w:r>
              <w:t>服务对象对项目满意度</w:t>
            </w:r>
          </w:p>
        </w:tc>
        <w:tc>
          <w:tcPr>
            <w:tcW w:w="3658" w:type="dxa"/>
            <w:vAlign w:val="center"/>
          </w:tcPr>
          <w:p>
            <w:pPr>
              <w:pStyle w:val="18"/>
            </w:pPr>
            <w:r>
              <w:t>服务对象对项目满意度</w:t>
            </w:r>
          </w:p>
        </w:tc>
        <w:tc>
          <w:tcPr>
            <w:tcW w:w="2466" w:type="dxa"/>
            <w:vAlign w:val="center"/>
          </w:tcPr>
          <w:p>
            <w:pPr>
              <w:pStyle w:val="18"/>
            </w:pPr>
            <w:r>
              <w:t>≥90%</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spacing w:before="0" w:after="0"/>
        <w:ind w:firstLine="560"/>
        <w:jc w:val="left"/>
        <w:outlineLvl w:val="9"/>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14、限额以上批零住餐入统企业奖励资金绩效目标表</w:t>
      </w:r>
    </w:p>
    <w:tbl>
      <w:tblPr>
        <w:tblStyle w:val="8"/>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5832"/>
        <w:gridCol w:w="89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832" w:type="dxa"/>
            <w:tcBorders>
              <w:bottom w:val="single" w:color="FFFFFF" w:sz="6" w:space="0"/>
            </w:tcBorders>
            <w:vAlign w:val="center"/>
          </w:tcPr>
          <w:p>
            <w:pPr>
              <w:pStyle w:val="16"/>
            </w:pPr>
            <w:r>
              <w:rPr>
                <w:rFonts w:hint="eastAsia" w:ascii="仿宋_GB2312" w:hAnsi="仿宋_GB2312" w:eastAsia="仿宋_GB2312" w:cs="仿宋_GB2312"/>
              </w:rPr>
              <w:t>绩效目标</w:t>
            </w:r>
          </w:p>
        </w:tc>
        <w:tc>
          <w:tcPr>
            <w:tcW w:w="8966" w:type="dxa"/>
            <w:tcBorders>
              <w:bottom w:val="single" w:color="FFFFFF" w:sz="6" w:space="0"/>
            </w:tcBorders>
            <w:vAlign w:val="center"/>
          </w:tcPr>
          <w:p>
            <w:pPr>
              <w:pStyle w:val="18"/>
            </w:pPr>
            <w:r>
              <w:t>1.目标内容1：通过对限额以上批零住餐企业摸底调查并对具备相应规模企业进行奖励，进一步提升我市企业综合竞争力，推动经历结构调整和产业转型升级，使规模以上服务业企业和批零住餐限上企业进一步做大做强。</w:t>
            </w:r>
          </w:p>
          <w:p>
            <w:pPr>
              <w:pStyle w:val="18"/>
            </w:pPr>
            <w:r>
              <w:t>2.目标内容2：通过对企业相关情况进行排查，为符合入统条件的企业发放奖励金，保障全市经济向优质高端发展。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1"/>
        <w:gridCol w:w="1845"/>
        <w:gridCol w:w="2400"/>
        <w:gridCol w:w="4048"/>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1571"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1845"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2400"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4048"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2466" w:type="dxa"/>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restart"/>
            <w:vAlign w:val="center"/>
          </w:tcPr>
          <w:p>
            <w:pPr>
              <w:pStyle w:val="19"/>
            </w:pPr>
            <w:r>
              <w:t>产出指标</w:t>
            </w:r>
          </w:p>
        </w:tc>
        <w:tc>
          <w:tcPr>
            <w:tcW w:w="1845" w:type="dxa"/>
            <w:vAlign w:val="center"/>
          </w:tcPr>
          <w:p>
            <w:pPr>
              <w:pStyle w:val="18"/>
            </w:pPr>
            <w:r>
              <w:t>数量指标</w:t>
            </w:r>
          </w:p>
        </w:tc>
        <w:tc>
          <w:tcPr>
            <w:tcW w:w="2400" w:type="dxa"/>
            <w:vAlign w:val="center"/>
          </w:tcPr>
          <w:p>
            <w:pPr>
              <w:pStyle w:val="18"/>
            </w:pPr>
            <w:r>
              <w:t>补助企业数量</w:t>
            </w:r>
          </w:p>
        </w:tc>
        <w:tc>
          <w:tcPr>
            <w:tcW w:w="4048" w:type="dxa"/>
            <w:vAlign w:val="center"/>
          </w:tcPr>
          <w:p>
            <w:pPr>
              <w:pStyle w:val="18"/>
            </w:pPr>
            <w:r>
              <w:t>补助企业个数</w:t>
            </w:r>
          </w:p>
        </w:tc>
        <w:tc>
          <w:tcPr>
            <w:tcW w:w="2466" w:type="dxa"/>
            <w:vAlign w:val="center"/>
          </w:tcPr>
          <w:p>
            <w:pPr>
              <w:pStyle w:val="18"/>
            </w:pPr>
            <w:r>
              <w:t>≤36家</w:t>
            </w:r>
          </w:p>
        </w:tc>
        <w:tc>
          <w:tcPr>
            <w:tcW w:w="2466" w:type="dxa"/>
            <w:vAlign w:val="center"/>
          </w:tcPr>
          <w:p>
            <w:pPr>
              <w:pStyle w:val="18"/>
            </w:pPr>
            <w:r>
              <w:t>统计局提供入统企业名单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质量指标</w:t>
            </w:r>
          </w:p>
        </w:tc>
        <w:tc>
          <w:tcPr>
            <w:tcW w:w="2400" w:type="dxa"/>
            <w:vAlign w:val="center"/>
          </w:tcPr>
          <w:p>
            <w:pPr>
              <w:pStyle w:val="18"/>
            </w:pPr>
            <w:r>
              <w:t>申报企业发放覆盖率</w:t>
            </w:r>
          </w:p>
        </w:tc>
        <w:tc>
          <w:tcPr>
            <w:tcW w:w="4048" w:type="dxa"/>
            <w:vAlign w:val="center"/>
          </w:tcPr>
          <w:p>
            <w:pPr>
              <w:pStyle w:val="18"/>
            </w:pPr>
            <w:r>
              <w:t>补助企业数量占申报企业数量比率</w:t>
            </w:r>
          </w:p>
        </w:tc>
        <w:tc>
          <w:tcPr>
            <w:tcW w:w="2466" w:type="dxa"/>
            <w:vAlign w:val="center"/>
          </w:tcPr>
          <w:p>
            <w:pPr>
              <w:pStyle w:val="18"/>
            </w:pPr>
            <w:r>
              <w:t>≥60％</w:t>
            </w:r>
          </w:p>
        </w:tc>
        <w:tc>
          <w:tcPr>
            <w:tcW w:w="2466" w:type="dxa"/>
            <w:vAlign w:val="center"/>
          </w:tcPr>
          <w:p>
            <w:pPr>
              <w:pStyle w:val="18"/>
            </w:pPr>
            <w:r>
              <w:t>三河市人民政府办公室关于印发《三河市支持“十类企业”培育的若干措施》的通知 三政办[2022]45号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时效指标</w:t>
            </w:r>
          </w:p>
        </w:tc>
        <w:tc>
          <w:tcPr>
            <w:tcW w:w="2400" w:type="dxa"/>
            <w:vAlign w:val="center"/>
          </w:tcPr>
          <w:p>
            <w:pPr>
              <w:pStyle w:val="18"/>
            </w:pPr>
            <w:r>
              <w:t>资金发放时间</w:t>
            </w:r>
          </w:p>
        </w:tc>
        <w:tc>
          <w:tcPr>
            <w:tcW w:w="4048" w:type="dxa"/>
            <w:vAlign w:val="center"/>
          </w:tcPr>
          <w:p>
            <w:pPr>
              <w:pStyle w:val="18"/>
            </w:pPr>
            <w:r>
              <w:t>为入统企业发放奖励资金时间</w:t>
            </w:r>
          </w:p>
        </w:tc>
        <w:tc>
          <w:tcPr>
            <w:tcW w:w="2466" w:type="dxa"/>
            <w:vAlign w:val="center"/>
          </w:tcPr>
          <w:p>
            <w:pPr>
              <w:pStyle w:val="18"/>
            </w:pPr>
            <w:r>
              <w:t>≤6月</w:t>
            </w:r>
          </w:p>
        </w:tc>
        <w:tc>
          <w:tcPr>
            <w:tcW w:w="2466" w:type="dxa"/>
            <w:vAlign w:val="center"/>
          </w:tcPr>
          <w:p>
            <w:pPr>
              <w:pStyle w:val="18"/>
            </w:pPr>
            <w: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成本指标</w:t>
            </w:r>
          </w:p>
        </w:tc>
        <w:tc>
          <w:tcPr>
            <w:tcW w:w="2400" w:type="dxa"/>
            <w:vAlign w:val="center"/>
          </w:tcPr>
          <w:p>
            <w:pPr>
              <w:pStyle w:val="18"/>
            </w:pPr>
            <w:r>
              <w:t>补助企业平均成本</w:t>
            </w:r>
          </w:p>
        </w:tc>
        <w:tc>
          <w:tcPr>
            <w:tcW w:w="4048" w:type="dxa"/>
            <w:vAlign w:val="center"/>
          </w:tcPr>
          <w:p>
            <w:pPr>
              <w:pStyle w:val="18"/>
            </w:pPr>
            <w:r>
              <w:t>补助企业平均成本</w:t>
            </w:r>
          </w:p>
        </w:tc>
        <w:tc>
          <w:tcPr>
            <w:tcW w:w="2466" w:type="dxa"/>
            <w:vAlign w:val="center"/>
          </w:tcPr>
          <w:p>
            <w:pPr>
              <w:pStyle w:val="18"/>
            </w:pPr>
            <w:r>
              <w:t>≤10万元</w:t>
            </w:r>
          </w:p>
        </w:tc>
        <w:tc>
          <w:tcPr>
            <w:tcW w:w="2466" w:type="dxa"/>
            <w:vAlign w:val="center"/>
          </w:tcPr>
          <w:p>
            <w:pPr>
              <w:pStyle w:val="18"/>
            </w:pPr>
            <w:r>
              <w:t>三河市人民政府办公室关于印发《三河市支持“十类企业”培育的若干措施》的通知 三政办[2022]45号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restart"/>
            <w:vAlign w:val="center"/>
          </w:tcPr>
          <w:p>
            <w:pPr>
              <w:pStyle w:val="19"/>
            </w:pPr>
            <w:r>
              <w:t>效益指标</w:t>
            </w:r>
          </w:p>
        </w:tc>
        <w:tc>
          <w:tcPr>
            <w:tcW w:w="1845" w:type="dxa"/>
            <w:vAlign w:val="center"/>
          </w:tcPr>
          <w:p>
            <w:pPr>
              <w:pStyle w:val="18"/>
            </w:pPr>
            <w:r>
              <w:t>社会效益指标</w:t>
            </w:r>
          </w:p>
        </w:tc>
        <w:tc>
          <w:tcPr>
            <w:tcW w:w="2400" w:type="dxa"/>
            <w:vAlign w:val="center"/>
          </w:tcPr>
          <w:p>
            <w:pPr>
              <w:pStyle w:val="18"/>
            </w:pPr>
            <w:r>
              <w:t>促进企业转型升级率</w:t>
            </w:r>
          </w:p>
        </w:tc>
        <w:tc>
          <w:tcPr>
            <w:tcW w:w="4048" w:type="dxa"/>
            <w:vAlign w:val="center"/>
          </w:tcPr>
          <w:p>
            <w:pPr>
              <w:pStyle w:val="18"/>
            </w:pPr>
            <w:r>
              <w:t>促进此类型企业转型升级比率</w:t>
            </w:r>
          </w:p>
        </w:tc>
        <w:tc>
          <w:tcPr>
            <w:tcW w:w="2466" w:type="dxa"/>
            <w:vAlign w:val="center"/>
          </w:tcPr>
          <w:p>
            <w:pPr>
              <w:pStyle w:val="18"/>
            </w:pPr>
            <w:r>
              <w:t>≥0.25％</w:t>
            </w:r>
          </w:p>
        </w:tc>
        <w:tc>
          <w:tcPr>
            <w:tcW w:w="2466" w:type="dxa"/>
            <w:vAlign w:val="center"/>
          </w:tcPr>
          <w:p>
            <w:pPr>
              <w:pStyle w:val="18"/>
            </w:pPr>
            <w:r>
              <w:t>税务局、统计局提供数据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Merge w:val="continue"/>
            <w:vAlign w:val="center"/>
          </w:tcPr>
          <w:p/>
        </w:tc>
        <w:tc>
          <w:tcPr>
            <w:tcW w:w="1845" w:type="dxa"/>
            <w:vAlign w:val="center"/>
          </w:tcPr>
          <w:p>
            <w:pPr>
              <w:pStyle w:val="18"/>
            </w:pPr>
            <w:r>
              <w:t>可持续影响指标</w:t>
            </w:r>
          </w:p>
        </w:tc>
        <w:tc>
          <w:tcPr>
            <w:tcW w:w="2400" w:type="dxa"/>
            <w:vAlign w:val="center"/>
          </w:tcPr>
          <w:p>
            <w:pPr>
              <w:pStyle w:val="18"/>
            </w:pPr>
            <w:r>
              <w:t>调整限上企业产业结构</w:t>
            </w:r>
          </w:p>
        </w:tc>
        <w:tc>
          <w:tcPr>
            <w:tcW w:w="4048" w:type="dxa"/>
            <w:vAlign w:val="center"/>
          </w:tcPr>
          <w:p>
            <w:pPr>
              <w:pStyle w:val="18"/>
            </w:pPr>
            <w:r>
              <w:t>调整我市限上企业产业结构</w:t>
            </w:r>
          </w:p>
        </w:tc>
        <w:tc>
          <w:tcPr>
            <w:tcW w:w="2466" w:type="dxa"/>
            <w:vAlign w:val="center"/>
          </w:tcPr>
          <w:p>
            <w:pPr>
              <w:pStyle w:val="18"/>
            </w:pPr>
            <w:r>
              <w:t>加快调整</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571" w:type="dxa"/>
            <w:vAlign w:val="center"/>
          </w:tcPr>
          <w:p>
            <w:pPr>
              <w:pStyle w:val="19"/>
            </w:pPr>
            <w:r>
              <w:t>满意度指标</w:t>
            </w:r>
          </w:p>
        </w:tc>
        <w:tc>
          <w:tcPr>
            <w:tcW w:w="1845" w:type="dxa"/>
            <w:vAlign w:val="center"/>
          </w:tcPr>
          <w:p>
            <w:pPr>
              <w:pStyle w:val="18"/>
            </w:pPr>
            <w:r>
              <w:t>服务对象满意度指标</w:t>
            </w:r>
          </w:p>
        </w:tc>
        <w:tc>
          <w:tcPr>
            <w:tcW w:w="2400" w:type="dxa"/>
            <w:vAlign w:val="center"/>
          </w:tcPr>
          <w:p>
            <w:pPr>
              <w:pStyle w:val="18"/>
            </w:pPr>
            <w:r>
              <w:t>补助企业满意度</w:t>
            </w:r>
          </w:p>
        </w:tc>
        <w:tc>
          <w:tcPr>
            <w:tcW w:w="4048" w:type="dxa"/>
            <w:vAlign w:val="center"/>
          </w:tcPr>
          <w:p>
            <w:pPr>
              <w:pStyle w:val="18"/>
            </w:pPr>
            <w:r>
              <w:t>受补助企业满意程度</w:t>
            </w:r>
          </w:p>
        </w:tc>
        <w:tc>
          <w:tcPr>
            <w:tcW w:w="2466" w:type="dxa"/>
            <w:vAlign w:val="center"/>
          </w:tcPr>
          <w:p>
            <w:pPr>
              <w:pStyle w:val="18"/>
            </w:pPr>
            <w:r>
              <w:t>≥90％</w:t>
            </w:r>
          </w:p>
        </w:tc>
        <w:tc>
          <w:tcPr>
            <w:tcW w:w="2466" w:type="dxa"/>
            <w:vAlign w:val="center"/>
          </w:tcPr>
          <w:p>
            <w:pPr>
              <w:pStyle w:val="18"/>
            </w:pPr>
            <w:r>
              <w:t>调查问卷</w:t>
            </w:r>
          </w:p>
        </w:tc>
      </w:tr>
    </w:tbl>
    <w:p>
      <w:pPr>
        <w:sectPr>
          <w:pgSz w:w="16840" w:h="11900" w:orient="landscape"/>
          <w:pgMar w:top="1361" w:right="1020" w:bottom="1134" w:left="1020" w:header="720" w:footer="720" w:gutter="0"/>
          <w:pgBorders>
            <w:top w:val="none" w:sz="0" w:space="0"/>
            <w:left w:val="none" w:sz="0" w:space="0"/>
            <w:bottom w:val="none" w:sz="0" w:space="0"/>
            <w:right w:val="none" w:sz="0" w:space="0"/>
          </w:pgBorders>
        </w:sect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outlineLvl w:val="1"/>
        <w:rPr>
          <w:rFonts w:ascii="方正小标宋_GBK" w:eastAsia="方正小标宋_GBK" w:cs="Times New Roman"/>
          <w:sz w:val="32"/>
        </w:rPr>
      </w:pPr>
      <w:r>
        <w:rPr>
          <w:rFonts w:hint="eastAsia"/>
          <w:lang w:val="en-US" w:eastAsia="zh-CN"/>
        </w:rPr>
        <w:t>322</w:t>
      </w:r>
      <w:r>
        <w:rPr>
          <w:rFonts w:hint="eastAsia"/>
          <w:lang w:eastAsia="zh-CN"/>
        </w:rPr>
        <w:t>三河</w:t>
      </w:r>
      <w:r>
        <w:t>市</w:t>
      </w:r>
      <w:r>
        <w:rPr>
          <w:rFonts w:hint="eastAsia"/>
          <w:lang w:val="en-US" w:eastAsia="zh-CN"/>
        </w:rPr>
        <w:t>商务局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480.39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市市直部门固定资产占用情况表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商务局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480.39</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2260.50</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2260.50</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pStyle w:val="19"/>
              <w:ind w:firstLine="0" w:firstLineChars="0"/>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3</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17.50</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仿宋_GB2312" w:hAnsi="仿宋_GB2312" w:eastAsia="仿宋_GB2312" w:cs="仿宋_GB2312"/>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803</w:t>
            </w:r>
          </w:p>
        </w:tc>
        <w:tc>
          <w:tcPr>
            <w:tcW w:w="5103" w:type="dxa"/>
            <w:tcBorders>
              <w:top w:val="nil"/>
              <w:left w:val="nil"/>
              <w:bottom w:val="single" w:color="auto" w:sz="4" w:space="0"/>
              <w:right w:val="single" w:color="auto" w:sz="4" w:space="0"/>
            </w:tcBorders>
            <w:shd w:val="clear" w:color="auto" w:fill="auto"/>
            <w:noWrap/>
            <w:vAlign w:val="center"/>
          </w:tcPr>
          <w:p>
            <w:pPr>
              <w:pStyle w:val="17"/>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kern w:val="2"/>
                <w:sz w:val="22"/>
                <w:szCs w:val="22"/>
                <w:lang w:val="en-US" w:eastAsia="zh-CN" w:bidi="ar-SA"/>
              </w:rPr>
              <w:t>110.67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U4NmVhNTNjYzk4MTJlNjhhYWNhNDNiNGI3ZmI1Zjk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053444"/>
    <w:rsid w:val="0D932986"/>
    <w:rsid w:val="10CB79D7"/>
    <w:rsid w:val="126F1FEF"/>
    <w:rsid w:val="162E612D"/>
    <w:rsid w:val="16815E31"/>
    <w:rsid w:val="1BCB1CAE"/>
    <w:rsid w:val="1C9C27B4"/>
    <w:rsid w:val="1D5340C9"/>
    <w:rsid w:val="1DBD1F20"/>
    <w:rsid w:val="1E4B16CB"/>
    <w:rsid w:val="1ED84F11"/>
    <w:rsid w:val="1F1D5AB8"/>
    <w:rsid w:val="24B35BD6"/>
    <w:rsid w:val="28F42DBA"/>
    <w:rsid w:val="2C7C13D4"/>
    <w:rsid w:val="2D820030"/>
    <w:rsid w:val="2F0F1CEF"/>
    <w:rsid w:val="3D886569"/>
    <w:rsid w:val="43D740F0"/>
    <w:rsid w:val="48BA626F"/>
    <w:rsid w:val="4A056DBD"/>
    <w:rsid w:val="4E525F01"/>
    <w:rsid w:val="516013B8"/>
    <w:rsid w:val="52B42521"/>
    <w:rsid w:val="54634EF4"/>
    <w:rsid w:val="58A65A14"/>
    <w:rsid w:val="5A8C37D7"/>
    <w:rsid w:val="5A960CB2"/>
    <w:rsid w:val="5EAD26B7"/>
    <w:rsid w:val="611070B7"/>
    <w:rsid w:val="615505E4"/>
    <w:rsid w:val="623B1E49"/>
    <w:rsid w:val="63CB1FCB"/>
    <w:rsid w:val="63D80325"/>
    <w:rsid w:val="71382C27"/>
    <w:rsid w:val="74F34AA9"/>
    <w:rsid w:val="75072423"/>
    <w:rsid w:val="785C2DBC"/>
    <w:rsid w:val="7DD433BD"/>
    <w:rsid w:val="7E4939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2734</Words>
  <Characters>2906</Characters>
  <Lines>35</Lines>
  <Paragraphs>10</Paragraphs>
  <TotalTime>73</TotalTime>
  <ScaleCrop>false</ScaleCrop>
  <LinksUpToDate>false</LinksUpToDate>
  <CharactersWithSpaces>3047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2023-01-29T01:01:00Z</cp:lastPrinted>
  <dcterms:modified xsi:type="dcterms:W3CDTF">2024-01-04T07:17:05Z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EB9C0F9B3BB841678D75DAD72FAD8148</vt:lpwstr>
  </property>
</Properties>
</file>